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3C1957D5">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019B2EB9" w:rsidR="006A4BFE" w:rsidRPr="003415C6" w:rsidRDefault="005D2D96">
      <w:pPr>
        <w:rPr>
          <w:b/>
          <w:bCs/>
          <w:caps/>
        </w:rPr>
      </w:pPr>
      <w:r w:rsidRPr="003415C6">
        <w:rPr>
          <w:b/>
          <w:bCs/>
        </w:rPr>
        <w:t>COURSE</w:t>
      </w:r>
      <w:r w:rsidR="00076E31" w:rsidRPr="003415C6">
        <w:rPr>
          <w:b/>
          <w:bCs/>
        </w:rPr>
        <w:t xml:space="preserve">:  </w:t>
      </w:r>
      <w:r w:rsidR="002A10F1">
        <w:rPr>
          <w:b/>
          <w:bCs/>
        </w:rPr>
        <w:t>BOTH 1</w:t>
      </w:r>
      <w:r w:rsidR="002E6600">
        <w:rPr>
          <w:b/>
          <w:bCs/>
        </w:rPr>
        <w:t>23</w:t>
      </w:r>
      <w:r w:rsidR="002A10F1">
        <w:rPr>
          <w:b/>
          <w:bCs/>
        </w:rPr>
        <w:t xml:space="preserve">0  </w:t>
      </w:r>
      <w:r w:rsidR="004D390B">
        <w:rPr>
          <w:b/>
          <w:bCs/>
        </w:rPr>
        <w:tab/>
      </w:r>
      <w:r w:rsidR="002E6600">
        <w:rPr>
          <w:b/>
          <w:bCs/>
        </w:rPr>
        <w:t>Insurance Billing &amp; Coding</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2ADEF6B4" w14:textId="1E68CF23" w:rsidR="006A4BFE" w:rsidRDefault="005D2D96" w:rsidP="00AF3D65">
      <w:pPr>
        <w:widowControl w:val="0"/>
        <w:snapToGrid w:val="0"/>
      </w:pPr>
      <w:r w:rsidRPr="002A47DA">
        <w:rPr>
          <w:b/>
        </w:rPr>
        <w:t>COURSE DESCRIPTION</w:t>
      </w:r>
      <w:r w:rsidR="00F52ACC" w:rsidRPr="002A47DA">
        <w:rPr>
          <w:b/>
        </w:rPr>
        <w:t>:</w:t>
      </w:r>
      <w:r w:rsidR="006A4BFE" w:rsidRPr="003415C6">
        <w:t xml:space="preserve"> </w:t>
      </w:r>
      <w:r w:rsidR="002A47DA">
        <w:t xml:space="preserve"> </w:t>
      </w:r>
      <w:r w:rsidR="00AF3D65">
        <w:t>Discussion of the types of health insurance, insurance claims procedures and instruction in the application of the current version of the International Classification of Diseases, 2001, Revision, Clinical Modification (ICD-9-CM) and Current Procedural Terminology (CPT).</w:t>
      </w:r>
    </w:p>
    <w:p w14:paraId="35DF45C9" w14:textId="77777777" w:rsidR="00AF3D65" w:rsidRPr="003415C6" w:rsidRDefault="00AF3D65" w:rsidP="00AF3D65">
      <w:pPr>
        <w:widowControl w:val="0"/>
        <w:snapToGrid w:val="0"/>
        <w:rPr>
          <w:b/>
        </w:rPr>
      </w:pPr>
    </w:p>
    <w:p w14:paraId="2ADEF6B5" w14:textId="76B2DBC8" w:rsidR="00F52ACC" w:rsidRPr="002A10F1" w:rsidRDefault="005D2D96">
      <w:pPr>
        <w:rPr>
          <w:bCs/>
        </w:rPr>
      </w:pPr>
      <w:r w:rsidRPr="003415C6">
        <w:rPr>
          <w:b/>
          <w:bCs/>
        </w:rPr>
        <w:t>PREREQUISITES</w:t>
      </w:r>
      <w:r w:rsidR="00F52ACC" w:rsidRPr="003415C6">
        <w:rPr>
          <w:b/>
          <w:bCs/>
        </w:rPr>
        <w:t>:</w:t>
      </w:r>
      <w:r w:rsidR="00EB58F7">
        <w:rPr>
          <w:b/>
          <w:bCs/>
        </w:rPr>
        <w:t xml:space="preserve">  </w:t>
      </w:r>
      <w:r w:rsidR="00AF3D65">
        <w:rPr>
          <w:bCs/>
        </w:rPr>
        <w:t>None</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413163A7" w14:textId="77777777" w:rsidR="002E6600" w:rsidRPr="00FE5218" w:rsidRDefault="002E6600" w:rsidP="002E6600">
      <w:pPr>
        <w:numPr>
          <w:ilvl w:val="0"/>
          <w:numId w:val="14"/>
        </w:numPr>
        <w:rPr>
          <w:bCs/>
        </w:rPr>
      </w:pPr>
      <w:r w:rsidRPr="00FE5218">
        <w:rPr>
          <w:bCs/>
        </w:rPr>
        <w:t>Describe the differences in benefits and billing requirements in the types of health insurance plans available including group plans, individual, private, and government-sponsored policies.</w:t>
      </w:r>
    </w:p>
    <w:p w14:paraId="1EC8DC3B" w14:textId="77777777" w:rsidR="002E6600" w:rsidRPr="00FE5218" w:rsidRDefault="002E6600" w:rsidP="002E6600">
      <w:pPr>
        <w:numPr>
          <w:ilvl w:val="0"/>
          <w:numId w:val="14"/>
        </w:numPr>
      </w:pPr>
      <w:r w:rsidRPr="00FE5218">
        <w:t>List the purposes and types of health insurance plans available, giving examples of each.</w:t>
      </w:r>
    </w:p>
    <w:p w14:paraId="1AB57FC1" w14:textId="77777777" w:rsidR="002E6600" w:rsidRPr="00FE5218" w:rsidRDefault="002E6600" w:rsidP="002E6600">
      <w:pPr>
        <w:numPr>
          <w:ilvl w:val="0"/>
          <w:numId w:val="14"/>
        </w:numPr>
      </w:pPr>
      <w:r w:rsidRPr="00FE5218">
        <w:t>Discuss the purpose and organization of ICD-10-CM; summarize the structure, content, and key conventions of the Alphabetic Index and the Tabular Index; explain the use of external cause codes and Z codes; assign correct ICD-10-CM diagnosis codes.</w:t>
      </w:r>
    </w:p>
    <w:p w14:paraId="3FF2CB0E" w14:textId="77777777" w:rsidR="002E6600" w:rsidRPr="00FE5218" w:rsidRDefault="002E6600" w:rsidP="002E6600">
      <w:pPr>
        <w:numPr>
          <w:ilvl w:val="0"/>
          <w:numId w:val="14"/>
        </w:numPr>
      </w:pPr>
      <w:r w:rsidRPr="00FE5218">
        <w:t>Discuss the use of the Current Procedural Terminology (CPT) code set; list the six steps in the process of assigning correct CPT codes; explain E/M code selection and assignment; recognize surgical packages; discuss coding for laboratory panels and immunizations; discuss coding with the Health Care Common Procedure Coding System (HCPCS).</w:t>
      </w:r>
    </w:p>
    <w:p w14:paraId="6064BDE9" w14:textId="77777777" w:rsidR="002E6600" w:rsidRPr="00FE5218" w:rsidRDefault="002E6600" w:rsidP="002E6600">
      <w:pPr>
        <w:numPr>
          <w:ilvl w:val="0"/>
          <w:numId w:val="14"/>
        </w:numPr>
      </w:pPr>
      <w:r w:rsidRPr="00FE5218">
        <w:t>Outline the benefits of using practice management programs to prepare health care claims; distinguish between the electronic and paper-based claim transactions; complete a CMS-1500 form; discuss the elements entered in the five sections of the HIPAA 837 claim transaction; explain the process for billing secondary payers.</w:t>
      </w:r>
    </w:p>
    <w:p w14:paraId="13D68E15" w14:textId="77777777" w:rsidR="002E6600" w:rsidRPr="00FE5218" w:rsidRDefault="002E6600" w:rsidP="002E6600">
      <w:pPr>
        <w:numPr>
          <w:ilvl w:val="0"/>
          <w:numId w:val="14"/>
        </w:numPr>
      </w:pPr>
      <w:r w:rsidRPr="00FE5218">
        <w:t>Compare group and individual health plans; prepare accurate private payer claims; explain how to manage billing for capitated services</w:t>
      </w:r>
    </w:p>
    <w:p w14:paraId="29156777" w14:textId="77777777" w:rsidR="002E6600" w:rsidRDefault="002E6600" w:rsidP="002E6600">
      <w:pPr>
        <w:numPr>
          <w:ilvl w:val="0"/>
          <w:numId w:val="14"/>
        </w:numPr>
      </w:pPr>
      <w:r w:rsidRPr="00FE5218">
        <w:t xml:space="preserve">Outline the steps of claim adjudication, explaining the effect of </w:t>
      </w:r>
      <w:proofErr w:type="spellStart"/>
      <w:r w:rsidRPr="00FE5218">
        <w:t>upcoding</w:t>
      </w:r>
      <w:proofErr w:type="spellEnd"/>
      <w:r w:rsidRPr="00FE5218">
        <w:t xml:space="preserve"> and </w:t>
      </w:r>
      <w:proofErr w:type="spellStart"/>
      <w:r w:rsidRPr="00FE5218">
        <w:t>downcoding</w:t>
      </w:r>
      <w:proofErr w:type="spellEnd"/>
      <w:r w:rsidRPr="00FE5218">
        <w:t xml:space="preserve"> on the process.</w:t>
      </w:r>
    </w:p>
    <w:p w14:paraId="35770749" w14:textId="77777777" w:rsidR="002E6600" w:rsidRPr="00FE5218" w:rsidRDefault="002E6600" w:rsidP="002E6600">
      <w:pPr>
        <w:numPr>
          <w:ilvl w:val="0"/>
          <w:numId w:val="14"/>
        </w:numPr>
      </w:pPr>
      <w:r w:rsidRPr="00FE5218">
        <w:t>Compare inpatient and outpatient hospital services; list the major steps relating to the hospital billing cycle; contrast coding diagnoses and procedures for hospital inpatient cases and physician office services; prepare an accurate UB-04 claim.</w:t>
      </w:r>
    </w:p>
    <w:p w14:paraId="325F4CE5" w14:textId="77777777" w:rsidR="002E6600" w:rsidRPr="00FE5218" w:rsidRDefault="002E6600" w:rsidP="002E6600">
      <w:pPr>
        <w:numPr>
          <w:ilvl w:val="0"/>
          <w:numId w:val="14"/>
        </w:numPr>
      </w:pPr>
      <w:r w:rsidRPr="00FE5218">
        <w:lastRenderedPageBreak/>
        <w:t>Identify rules for assigning ICD-9-CM codes to disease, injuries, and procedures; demonstrate proficiency in assigning ICD-9-CM codes to disease, injuries, and procedures.</w:t>
      </w:r>
    </w:p>
    <w:p w14:paraId="2ADEF6B8" w14:textId="77777777" w:rsidR="00BF5892" w:rsidRPr="003415C6" w:rsidRDefault="00BF5892" w:rsidP="00BF5892">
      <w:pPr>
        <w:rPr>
          <w:b/>
        </w:rPr>
      </w:pPr>
    </w:p>
    <w:p w14:paraId="2ADEF6B9" w14:textId="77777777" w:rsidR="00294B47" w:rsidRDefault="005D2D96" w:rsidP="00BF5892">
      <w:pPr>
        <w:rPr>
          <w:b/>
        </w:rPr>
      </w:pPr>
      <w:r w:rsidRPr="003415C6">
        <w:rPr>
          <w:b/>
        </w:rPr>
        <w:t>ASSESSMENT MEASURES</w:t>
      </w:r>
      <w:r w:rsidR="002A47DA">
        <w:rPr>
          <w:b/>
        </w:rPr>
        <w:t xml:space="preserve">:  </w:t>
      </w:r>
    </w:p>
    <w:p w14:paraId="6DB202C0" w14:textId="77777777" w:rsidR="002E6600" w:rsidRPr="00D07E68" w:rsidRDefault="002E6600" w:rsidP="002E6600">
      <w:pPr>
        <w:ind w:left="360" w:firstLine="360"/>
      </w:pPr>
      <w:r w:rsidRPr="00D07E68">
        <w:t>Tests/Exams</w:t>
      </w:r>
    </w:p>
    <w:p w14:paraId="612063C7" w14:textId="77777777" w:rsidR="002E6600" w:rsidRPr="00D07E68" w:rsidRDefault="002E6600" w:rsidP="002E6600">
      <w:pPr>
        <w:ind w:left="360" w:firstLine="360"/>
      </w:pPr>
      <w:r w:rsidRPr="00D07E68">
        <w:t>Chapter Assignments</w:t>
      </w:r>
    </w:p>
    <w:p w14:paraId="334FB91A" w14:textId="2801F21D" w:rsidR="002A10F1" w:rsidRDefault="002A10F1" w:rsidP="002A10F1">
      <w:pPr>
        <w:contextualSpacing/>
        <w:rPr>
          <w:noProof/>
        </w:rPr>
      </w:pPr>
    </w:p>
    <w:p w14:paraId="2ADEF6BB" w14:textId="77777777" w:rsidR="00235FDF" w:rsidRDefault="005D2D96" w:rsidP="008E3B4A">
      <w:pPr>
        <w:pStyle w:val="Heading2"/>
        <w:ind w:hanging="5040"/>
      </w:pPr>
      <w:r w:rsidRPr="003415C6">
        <w:t>TEXTBOOK/S</w:t>
      </w:r>
      <w:r w:rsidR="006A4BFE" w:rsidRPr="003415C6">
        <w:t xml:space="preserve">: </w:t>
      </w:r>
      <w:r w:rsidR="00EB58F7">
        <w:t xml:space="preserve"> </w:t>
      </w:r>
    </w:p>
    <w:p w14:paraId="0E9763C6" w14:textId="63A097ED" w:rsidR="002E6600" w:rsidRDefault="002E6600" w:rsidP="00777A9E">
      <w:pPr>
        <w:pStyle w:val="ListParagraph"/>
        <w:numPr>
          <w:ilvl w:val="0"/>
          <w:numId w:val="16"/>
        </w:numPr>
      </w:pPr>
      <w:r>
        <w:t xml:space="preserve">Green, Michelle A., Rowell, JoAnn C., Copyright 2017/2015, </w:t>
      </w:r>
      <w:r w:rsidRPr="002E6600">
        <w:rPr>
          <w:i/>
        </w:rPr>
        <w:t xml:space="preserve">Understanding Health Insurance A Guide to Billing and </w:t>
      </w:r>
      <w:proofErr w:type="spellStart"/>
      <w:r w:rsidRPr="002E6600">
        <w:rPr>
          <w:i/>
        </w:rPr>
        <w:t>Reimbusement</w:t>
      </w:r>
      <w:proofErr w:type="spellEnd"/>
      <w:r>
        <w:t>, 13</w:t>
      </w:r>
      <w:r w:rsidRPr="002E6600">
        <w:rPr>
          <w:vertAlign w:val="superscript"/>
        </w:rPr>
        <w:t>th</w:t>
      </w:r>
      <w:r>
        <w:t xml:space="preserve"> Edition, Cengage Learning, ISBN:  </w:t>
      </w:r>
      <w:r w:rsidRPr="00E94AB8">
        <w:t>978-1-</w:t>
      </w:r>
      <w:r>
        <w:t>305</w:t>
      </w:r>
      <w:r w:rsidRPr="00E94AB8">
        <w:t>-</w:t>
      </w:r>
      <w:r>
        <w:t>64742</w:t>
      </w:r>
      <w:r w:rsidRPr="00E94AB8">
        <w:t>-</w:t>
      </w:r>
      <w:r>
        <w:t>8</w:t>
      </w:r>
    </w:p>
    <w:p w14:paraId="5A356974" w14:textId="48A735B7" w:rsidR="002E6600" w:rsidRDefault="002E6600" w:rsidP="008B01A9">
      <w:pPr>
        <w:pStyle w:val="ListParagraph"/>
        <w:numPr>
          <w:ilvl w:val="0"/>
          <w:numId w:val="16"/>
        </w:numPr>
      </w:pPr>
      <w:r>
        <w:t xml:space="preserve">Green, Michelle A., Rowell, JoAnn C., </w:t>
      </w:r>
      <w:r w:rsidRPr="002E6600">
        <w:rPr>
          <w:i/>
        </w:rPr>
        <w:t>Workbook to Accompany Understanding Health Insurance A Guide to Billing and Reimbursement</w:t>
      </w:r>
      <w:r>
        <w:t>, 13</w:t>
      </w:r>
      <w:r w:rsidRPr="002E6600">
        <w:rPr>
          <w:vertAlign w:val="superscript"/>
        </w:rPr>
        <w:t>th</w:t>
      </w:r>
      <w:r>
        <w:t xml:space="preserve"> Edition, Cengage Learning, ISBN:  978-1-305-64743-5</w:t>
      </w:r>
    </w:p>
    <w:p w14:paraId="2ADEF6BC" w14:textId="77777777" w:rsidR="002A47DA" w:rsidRPr="002A47DA" w:rsidRDefault="002A47DA" w:rsidP="002A47DA"/>
    <w:p w14:paraId="2ADEF6BE" w14:textId="3C4D4530" w:rsidR="006A4BFE" w:rsidRDefault="005D2D96" w:rsidP="002E6600">
      <w:pPr>
        <w:tabs>
          <w:tab w:val="left" w:pos="0"/>
        </w:tabs>
      </w:pPr>
      <w:r w:rsidRPr="003415C6">
        <w:rPr>
          <w:b/>
        </w:rPr>
        <w:t>SUPPLIES AND EQUIPMENT</w:t>
      </w:r>
      <w:r w:rsidR="002A47DA">
        <w:rPr>
          <w:b/>
        </w:rPr>
        <w:t xml:space="preserve">: </w:t>
      </w:r>
      <w:r w:rsidR="002A10F1">
        <w:rPr>
          <w:b/>
        </w:rPr>
        <w:t xml:space="preserve"> </w:t>
      </w:r>
      <w:r w:rsidR="002E6600" w:rsidRPr="002E6600">
        <w:t>N</w:t>
      </w:r>
      <w:r w:rsidR="002E6600">
        <w:t>otebook binder, highlighters, paper</w:t>
      </w:r>
      <w:r w:rsidR="00500449">
        <w:t>, medical dictionary</w:t>
      </w:r>
    </w:p>
    <w:p w14:paraId="3E4F36D2" w14:textId="77777777" w:rsidR="002E6600" w:rsidRPr="003415C6" w:rsidRDefault="002E6600" w:rsidP="002E6600">
      <w:pPr>
        <w:tabs>
          <w:tab w:val="left" w:pos="0"/>
        </w:tabs>
        <w:rPr>
          <w:b/>
          <w:bCs/>
        </w:rPr>
      </w:pPr>
    </w:p>
    <w:p w14:paraId="535016B3" w14:textId="77777777" w:rsidR="000F41B5" w:rsidRPr="00897420" w:rsidRDefault="000F41B5" w:rsidP="000F41B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283B2CF" w14:textId="77777777" w:rsidR="000F41B5" w:rsidRPr="00897420" w:rsidRDefault="000F41B5" w:rsidP="000F41B5">
      <w:pPr>
        <w:rPr>
          <w:b/>
          <w:bCs/>
        </w:rPr>
      </w:pPr>
    </w:p>
    <w:p w14:paraId="516F8A9C" w14:textId="77777777" w:rsidR="000F41B5" w:rsidRPr="00897420" w:rsidRDefault="000F41B5" w:rsidP="000F41B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F257397" w14:textId="77777777" w:rsidR="000F41B5" w:rsidRPr="00897420" w:rsidRDefault="000F41B5" w:rsidP="000F41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AD0376F" w14:textId="77777777" w:rsidR="000F41B5" w:rsidRPr="00897420" w:rsidRDefault="000F41B5" w:rsidP="000F41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0EB4D0E" w14:textId="77777777" w:rsidR="000F41B5" w:rsidRPr="00897420" w:rsidRDefault="000F41B5" w:rsidP="000F41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DF7E09D" w14:textId="77777777" w:rsidR="000F41B5" w:rsidRPr="00897420" w:rsidRDefault="000F41B5" w:rsidP="000F41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970A84C" w14:textId="77777777" w:rsidR="000F41B5" w:rsidRPr="00897420" w:rsidRDefault="000F41B5" w:rsidP="000F41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3415C6" w:rsidRDefault="00235FDF"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213F0F76" w14:textId="556A12EB" w:rsidR="002E6600" w:rsidRPr="00592763" w:rsidRDefault="002E6600" w:rsidP="002E6600">
      <w:pPr>
        <w:pStyle w:val="Heading2"/>
        <w:tabs>
          <w:tab w:val="left" w:pos="720"/>
          <w:tab w:val="left" w:pos="1440"/>
          <w:tab w:val="left" w:pos="2160"/>
          <w:tab w:val="left" w:pos="2880"/>
          <w:tab w:val="left" w:pos="3600"/>
          <w:tab w:val="left" w:pos="5880"/>
        </w:tabs>
        <w:ind w:left="720"/>
        <w:rPr>
          <w:b w:val="0"/>
        </w:rPr>
      </w:pPr>
      <w:r w:rsidRPr="00592763">
        <w:rPr>
          <w:b w:val="0"/>
        </w:rPr>
        <w:t>Tests/Exams</w:t>
      </w:r>
      <w:r w:rsidRPr="00592763">
        <w:rPr>
          <w:b w:val="0"/>
        </w:rPr>
        <w:tab/>
      </w:r>
      <w:r w:rsidRPr="00592763">
        <w:rPr>
          <w:b w:val="0"/>
        </w:rPr>
        <w:tab/>
      </w:r>
      <w:r>
        <w:rPr>
          <w:b w:val="0"/>
        </w:rPr>
        <w:t>8</w:t>
      </w:r>
      <w:r w:rsidRPr="00592763">
        <w:rPr>
          <w:b w:val="0"/>
        </w:rPr>
        <w:t>0%</w:t>
      </w:r>
      <w:r>
        <w:rPr>
          <w:b w:val="0"/>
        </w:rPr>
        <w:tab/>
      </w:r>
    </w:p>
    <w:p w14:paraId="0B40F0FF" w14:textId="77777777" w:rsidR="002E6600" w:rsidRDefault="002E6600" w:rsidP="002E6600">
      <w:pPr>
        <w:pStyle w:val="Heading2"/>
        <w:ind w:left="720"/>
        <w:rPr>
          <w:b w:val="0"/>
        </w:rPr>
      </w:pPr>
      <w:r w:rsidRPr="00592763">
        <w:rPr>
          <w:b w:val="0"/>
        </w:rPr>
        <w:t xml:space="preserve">Chapter Assignments </w:t>
      </w:r>
      <w:r w:rsidRPr="00592763">
        <w:rPr>
          <w:b w:val="0"/>
        </w:rPr>
        <w:tab/>
      </w:r>
      <w:r>
        <w:rPr>
          <w:b w:val="0"/>
        </w:rPr>
        <w:t>2</w:t>
      </w:r>
      <w:r w:rsidRPr="00592763">
        <w:rPr>
          <w:b w:val="0"/>
        </w:rPr>
        <w:t>0%</w:t>
      </w:r>
    </w:p>
    <w:p w14:paraId="4B339160" w14:textId="4884946E" w:rsidR="00DB38B4" w:rsidRPr="006835B9" w:rsidRDefault="00DB38B4" w:rsidP="002E6600">
      <w:pPr>
        <w:tabs>
          <w:tab w:val="right" w:pos="1080"/>
          <w:tab w:val="left" w:pos="1440"/>
        </w:tabs>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58957541" w14:textId="77777777" w:rsidR="000F41B5" w:rsidRPr="00897420" w:rsidRDefault="000F41B5" w:rsidP="000F41B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8C01D65" w14:textId="77777777" w:rsidR="000F41B5" w:rsidRPr="00897420" w:rsidRDefault="000F41B5" w:rsidP="000F41B5"/>
    <w:p w14:paraId="7D34A346" w14:textId="77777777" w:rsidR="000F41B5" w:rsidRPr="00897420" w:rsidRDefault="000F41B5" w:rsidP="000F41B5">
      <w:r w:rsidRPr="00897420">
        <w:rPr>
          <w:b/>
        </w:rPr>
        <w:lastRenderedPageBreak/>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768B0BC" w14:textId="77777777" w:rsidR="000F41B5" w:rsidRPr="00897420" w:rsidRDefault="000F41B5" w:rsidP="000F41B5"/>
    <w:p w14:paraId="36510353" w14:textId="77777777" w:rsidR="000F41B5" w:rsidRPr="00897420" w:rsidRDefault="000F41B5" w:rsidP="000F41B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CF957A0" w14:textId="77777777" w:rsidR="000F41B5" w:rsidRPr="00897420" w:rsidRDefault="000F41B5" w:rsidP="000F41B5"/>
    <w:p w14:paraId="64A3721C" w14:textId="77777777" w:rsidR="000F41B5" w:rsidRPr="00897420" w:rsidRDefault="000F41B5" w:rsidP="000F41B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D5D85F8" w14:textId="77777777" w:rsidR="000F41B5" w:rsidRPr="00897420" w:rsidRDefault="000F41B5" w:rsidP="000F41B5"/>
    <w:p w14:paraId="37E96737" w14:textId="77777777" w:rsidR="000F41B5" w:rsidRPr="00897420" w:rsidRDefault="000F41B5" w:rsidP="000F41B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0298705" w14:textId="77777777" w:rsidR="000F41B5" w:rsidRPr="00897420" w:rsidRDefault="000F41B5" w:rsidP="000F41B5"/>
    <w:p w14:paraId="242D7CB8" w14:textId="77777777" w:rsidR="000F41B5" w:rsidRPr="00897420" w:rsidRDefault="000F41B5" w:rsidP="000F41B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01677A3" w14:textId="77777777" w:rsidR="000F41B5" w:rsidRPr="00897420" w:rsidRDefault="000F41B5" w:rsidP="000F41B5"/>
    <w:p w14:paraId="78F8650E" w14:textId="77777777" w:rsidR="000F41B5" w:rsidRPr="00897420" w:rsidRDefault="000F41B5" w:rsidP="000F41B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C49B6CE"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Never post profanity, racist, or sexist messages </w:t>
      </w:r>
    </w:p>
    <w:p w14:paraId="62F6F9E4"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Be respectful of fellow students and instructors </w:t>
      </w:r>
    </w:p>
    <w:p w14:paraId="37DD7FD0"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Never insult any person or their message content </w:t>
      </w:r>
    </w:p>
    <w:p w14:paraId="477D1C30"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Never plagiarize or publish intellectual property </w:t>
      </w:r>
    </w:p>
    <w:p w14:paraId="25AF3E2C"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Do not use text messaging abbreviations or slang </w:t>
      </w:r>
    </w:p>
    <w:p w14:paraId="4EF0E491" w14:textId="77777777" w:rsidR="000F41B5" w:rsidRPr="00897420" w:rsidRDefault="000F41B5" w:rsidP="000F41B5">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0A7D6C91" w14:textId="77777777" w:rsidR="000F41B5" w:rsidRPr="001072A4" w:rsidRDefault="000F41B5" w:rsidP="000F41B5"/>
    <w:p w14:paraId="2ADEF6D0" w14:textId="51BCF1CF" w:rsidR="00CC7F37" w:rsidRPr="001072A4" w:rsidRDefault="00CC7F37" w:rsidP="000F41B5">
      <w:pPr>
        <w:autoSpaceDE w:val="0"/>
        <w:autoSpaceDN w:val="0"/>
        <w:adjustRightInd w:val="0"/>
      </w:pPr>
      <w:bookmarkStart w:id="0" w:name="_GoBack"/>
      <w:bookmarkEnd w:id="0"/>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52C6" w14:textId="77777777" w:rsidR="0085667E" w:rsidRDefault="0085667E" w:rsidP="00F52ACC">
      <w:r>
        <w:separator/>
      </w:r>
    </w:p>
  </w:endnote>
  <w:endnote w:type="continuationSeparator" w:id="0">
    <w:p w14:paraId="0C46B662" w14:textId="77777777" w:rsidR="0085667E" w:rsidRDefault="0085667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9690" w14:textId="77777777" w:rsidR="0085667E" w:rsidRDefault="0085667E" w:rsidP="00F52ACC">
      <w:r>
        <w:separator/>
      </w:r>
    </w:p>
  </w:footnote>
  <w:footnote w:type="continuationSeparator" w:id="0">
    <w:p w14:paraId="1784CE82" w14:textId="77777777" w:rsidR="0085667E" w:rsidRDefault="0085667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04094"/>
    <w:multiLevelType w:val="hybridMultilevel"/>
    <w:tmpl w:val="DFE4B85A"/>
    <w:lvl w:ilvl="0" w:tplc="D2D6F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7"/>
  </w:num>
  <w:num w:numId="5">
    <w:abstractNumId w:val="8"/>
  </w:num>
  <w:num w:numId="6">
    <w:abstractNumId w:val="16"/>
  </w:num>
  <w:num w:numId="7">
    <w:abstractNumId w:val="10"/>
  </w:num>
  <w:num w:numId="8">
    <w:abstractNumId w:val="9"/>
  </w:num>
  <w:num w:numId="9">
    <w:abstractNumId w:val="5"/>
  </w:num>
  <w:num w:numId="10">
    <w:abstractNumId w:val="1"/>
  </w:num>
  <w:num w:numId="11">
    <w:abstractNumId w:val="3"/>
  </w:num>
  <w:num w:numId="12">
    <w:abstractNumId w:val="0"/>
  </w:num>
  <w:num w:numId="13">
    <w:abstractNumId w:val="13"/>
  </w:num>
  <w:num w:numId="14">
    <w:abstractNumId w:val="11"/>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0F41B5"/>
    <w:rsid w:val="00103C39"/>
    <w:rsid w:val="001072A4"/>
    <w:rsid w:val="00153E6D"/>
    <w:rsid w:val="0018384A"/>
    <w:rsid w:val="00235FDF"/>
    <w:rsid w:val="0026401F"/>
    <w:rsid w:val="00294B47"/>
    <w:rsid w:val="00296855"/>
    <w:rsid w:val="002A10F1"/>
    <w:rsid w:val="002A47DA"/>
    <w:rsid w:val="002B1896"/>
    <w:rsid w:val="002C3219"/>
    <w:rsid w:val="002E0538"/>
    <w:rsid w:val="002E6600"/>
    <w:rsid w:val="003064BE"/>
    <w:rsid w:val="00320C82"/>
    <w:rsid w:val="003415C6"/>
    <w:rsid w:val="00354D96"/>
    <w:rsid w:val="0037283C"/>
    <w:rsid w:val="003A51CB"/>
    <w:rsid w:val="003A5636"/>
    <w:rsid w:val="004229CB"/>
    <w:rsid w:val="004D390B"/>
    <w:rsid w:val="00500449"/>
    <w:rsid w:val="00544C0B"/>
    <w:rsid w:val="005A2DB0"/>
    <w:rsid w:val="005C6C8D"/>
    <w:rsid w:val="005D2D96"/>
    <w:rsid w:val="006342C9"/>
    <w:rsid w:val="006835B9"/>
    <w:rsid w:val="006A4BFE"/>
    <w:rsid w:val="006B211F"/>
    <w:rsid w:val="00710ED3"/>
    <w:rsid w:val="007E001E"/>
    <w:rsid w:val="00822E3D"/>
    <w:rsid w:val="0083224E"/>
    <w:rsid w:val="0085664F"/>
    <w:rsid w:val="0085667E"/>
    <w:rsid w:val="00861CB6"/>
    <w:rsid w:val="00885A8F"/>
    <w:rsid w:val="008A7EA5"/>
    <w:rsid w:val="008E3B4A"/>
    <w:rsid w:val="008E4508"/>
    <w:rsid w:val="009130CF"/>
    <w:rsid w:val="00914403"/>
    <w:rsid w:val="00927540"/>
    <w:rsid w:val="00933CB6"/>
    <w:rsid w:val="00972574"/>
    <w:rsid w:val="009B7F77"/>
    <w:rsid w:val="009C11E5"/>
    <w:rsid w:val="00A126C1"/>
    <w:rsid w:val="00A75042"/>
    <w:rsid w:val="00AA0D70"/>
    <w:rsid w:val="00AC5280"/>
    <w:rsid w:val="00AD734D"/>
    <w:rsid w:val="00AF0EC8"/>
    <w:rsid w:val="00AF3D65"/>
    <w:rsid w:val="00B308D5"/>
    <w:rsid w:val="00B4469F"/>
    <w:rsid w:val="00B91E8D"/>
    <w:rsid w:val="00B9243F"/>
    <w:rsid w:val="00BD1F52"/>
    <w:rsid w:val="00BF5892"/>
    <w:rsid w:val="00C07D74"/>
    <w:rsid w:val="00C12943"/>
    <w:rsid w:val="00C143FE"/>
    <w:rsid w:val="00C4544A"/>
    <w:rsid w:val="00C652C2"/>
    <w:rsid w:val="00CA1A52"/>
    <w:rsid w:val="00CC7F37"/>
    <w:rsid w:val="00CD24CE"/>
    <w:rsid w:val="00CE3533"/>
    <w:rsid w:val="00CE526B"/>
    <w:rsid w:val="00CF7D5D"/>
    <w:rsid w:val="00D05433"/>
    <w:rsid w:val="00D1677D"/>
    <w:rsid w:val="00D3204C"/>
    <w:rsid w:val="00D7703F"/>
    <w:rsid w:val="00DB38B4"/>
    <w:rsid w:val="00E00EF3"/>
    <w:rsid w:val="00E352FE"/>
    <w:rsid w:val="00EA25BA"/>
    <w:rsid w:val="00EA5BD3"/>
    <w:rsid w:val="00EB58F7"/>
    <w:rsid w:val="00EC4F4D"/>
    <w:rsid w:val="00EF16B7"/>
    <w:rsid w:val="00F20835"/>
    <w:rsid w:val="00F50088"/>
    <w:rsid w:val="00F52ACC"/>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0F41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1230</dc:title>
  <dc:subject/>
  <dc:creator>bstuckey</dc:creator>
  <cp:keywords/>
  <cp:lastModifiedBy>Paul Donaldson</cp:lastModifiedBy>
  <cp:revision>3</cp:revision>
  <cp:lastPrinted>2017-01-09T22:38:00Z</cp:lastPrinted>
  <dcterms:created xsi:type="dcterms:W3CDTF">2020-05-11T19:25:00Z</dcterms:created>
  <dcterms:modified xsi:type="dcterms:W3CDTF">2020-08-10T18:38:00Z</dcterms:modified>
</cp:coreProperties>
</file>