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F0CEE78" w:rsidR="00C07D74" w:rsidRPr="006B7107" w:rsidRDefault="00F948F9" w:rsidP="00C07D74">
      <w:pPr>
        <w:jc w:val="center"/>
        <w:rPr>
          <w:b/>
          <w:bCs/>
        </w:rPr>
      </w:pPr>
      <w:r w:rsidRPr="006B7107">
        <w:rPr>
          <w:b/>
          <w:bCs/>
        </w:rPr>
        <w:t>Master Syllabus</w:t>
      </w:r>
    </w:p>
    <w:p w14:paraId="6E2544E9" w14:textId="77777777" w:rsidR="00E479A8" w:rsidRPr="006B7107" w:rsidRDefault="00E479A8" w:rsidP="00C07D74">
      <w:pPr>
        <w:jc w:val="center"/>
        <w:rPr>
          <w:b/>
          <w:bCs/>
        </w:rPr>
      </w:pPr>
    </w:p>
    <w:p w14:paraId="2ADEF6A3" w14:textId="11724420" w:rsidR="006A4BFE" w:rsidRPr="006B7107" w:rsidRDefault="005D2D96">
      <w:pPr>
        <w:rPr>
          <w:b/>
          <w:bCs/>
          <w:caps/>
        </w:rPr>
      </w:pPr>
      <w:r w:rsidRPr="006B7107">
        <w:rPr>
          <w:b/>
          <w:bCs/>
        </w:rPr>
        <w:t>COURSE</w:t>
      </w:r>
      <w:r w:rsidR="00076E31" w:rsidRPr="006B7107">
        <w:rPr>
          <w:b/>
          <w:bCs/>
        </w:rPr>
        <w:t xml:space="preserve">:  </w:t>
      </w:r>
      <w:r w:rsidR="003E2109" w:rsidRPr="006B7107">
        <w:rPr>
          <w:b/>
          <w:bCs/>
        </w:rPr>
        <w:t>BIOL 1015 General Biology Lab I</w:t>
      </w:r>
      <w:r w:rsidR="006A4BFE" w:rsidRPr="006B7107">
        <w:rPr>
          <w:b/>
          <w:bCs/>
        </w:rPr>
        <w:tab/>
        <w:t xml:space="preserve"> </w:t>
      </w:r>
      <w:r w:rsidR="006A4BFE" w:rsidRPr="006B7107">
        <w:rPr>
          <w:b/>
          <w:bCs/>
        </w:rPr>
        <w:tab/>
      </w:r>
      <w:r w:rsidR="006A4BFE" w:rsidRPr="006B7107">
        <w:rPr>
          <w:b/>
          <w:bCs/>
        </w:rPr>
        <w:tab/>
      </w:r>
      <w:r w:rsidR="006A4BFE" w:rsidRPr="006B7107">
        <w:rPr>
          <w:b/>
          <w:bCs/>
        </w:rPr>
        <w:tab/>
      </w:r>
      <w:r w:rsidR="006A4BFE" w:rsidRPr="006B7107">
        <w:rPr>
          <w:b/>
          <w:bCs/>
        </w:rPr>
        <w:tab/>
      </w:r>
      <w:r w:rsidR="006A4BFE" w:rsidRPr="006B7107">
        <w:rPr>
          <w:b/>
          <w:bCs/>
          <w:caps/>
        </w:rPr>
        <w:tab/>
        <w:t xml:space="preserve"> </w:t>
      </w:r>
    </w:p>
    <w:p w14:paraId="2ADEF6A4" w14:textId="77777777" w:rsidR="006A4BFE" w:rsidRPr="006B7107" w:rsidRDefault="006A4BFE">
      <w:pPr>
        <w:jc w:val="center"/>
        <w:rPr>
          <w:b/>
          <w:bCs/>
        </w:rPr>
      </w:pPr>
    </w:p>
    <w:p w14:paraId="2ADEF6A5" w14:textId="77777777" w:rsidR="006A4BFE" w:rsidRPr="006B7107" w:rsidRDefault="00076E31">
      <w:pPr>
        <w:rPr>
          <w:b/>
        </w:rPr>
      </w:pPr>
      <w:r w:rsidRPr="006B7107">
        <w:rPr>
          <w:b/>
        </w:rPr>
        <w:t xml:space="preserve">CRN:  </w:t>
      </w:r>
    </w:p>
    <w:p w14:paraId="2ADEF6A6" w14:textId="77777777" w:rsidR="006A4BFE" w:rsidRPr="006B7107" w:rsidRDefault="006A4BFE">
      <w:pPr>
        <w:rPr>
          <w:b/>
        </w:rPr>
      </w:pPr>
    </w:p>
    <w:p w14:paraId="2ADEF6A7" w14:textId="1DDE3196" w:rsidR="006A4BFE" w:rsidRPr="006B7107" w:rsidRDefault="005D2D96">
      <w:pPr>
        <w:rPr>
          <w:b/>
        </w:rPr>
      </w:pPr>
      <w:r w:rsidRPr="006B7107">
        <w:rPr>
          <w:b/>
          <w:bCs/>
        </w:rPr>
        <w:t xml:space="preserve">CREDIT HOURS </w:t>
      </w:r>
      <w:r w:rsidR="006A4BFE" w:rsidRPr="006B7107">
        <w:rPr>
          <w:b/>
          <w:bCs/>
        </w:rPr>
        <w:t xml:space="preserve">(Lecture/Lab/Total): </w:t>
      </w:r>
      <w:r w:rsidR="003E2109" w:rsidRPr="006B7107">
        <w:rPr>
          <w:b/>
          <w:bCs/>
        </w:rPr>
        <w:t>0/1/1</w:t>
      </w:r>
    </w:p>
    <w:p w14:paraId="2ADEF6A8" w14:textId="77777777" w:rsidR="006A4BFE" w:rsidRPr="006B7107" w:rsidRDefault="006A4BFE">
      <w:pPr>
        <w:rPr>
          <w:b/>
          <w:bCs/>
        </w:rPr>
      </w:pPr>
    </w:p>
    <w:p w14:paraId="2ADEF6A9" w14:textId="7B21C740" w:rsidR="002A47DA" w:rsidRPr="006B7107" w:rsidRDefault="005D2D96" w:rsidP="00F52ACC">
      <w:pPr>
        <w:rPr>
          <w:b/>
          <w:bCs/>
        </w:rPr>
      </w:pPr>
      <w:r w:rsidRPr="006B7107">
        <w:rPr>
          <w:b/>
          <w:bCs/>
        </w:rPr>
        <w:t xml:space="preserve">CONTACT HOUR </w:t>
      </w:r>
      <w:r w:rsidR="006A4BFE" w:rsidRPr="006B7107">
        <w:rPr>
          <w:b/>
          <w:bCs/>
        </w:rPr>
        <w:t>(Lecture/Lab/Total):</w:t>
      </w:r>
      <w:r w:rsidR="00EB58F7" w:rsidRPr="006B7107">
        <w:rPr>
          <w:b/>
          <w:bCs/>
        </w:rPr>
        <w:t xml:space="preserve"> </w:t>
      </w:r>
      <w:r w:rsidR="003E2109" w:rsidRPr="006B7107">
        <w:rPr>
          <w:b/>
          <w:bCs/>
        </w:rPr>
        <w:t>0/45</w:t>
      </w:r>
      <w:r w:rsidR="00F948F9" w:rsidRPr="006B7107">
        <w:rPr>
          <w:b/>
          <w:bCs/>
        </w:rPr>
        <w:t>/45</w:t>
      </w:r>
    </w:p>
    <w:p w14:paraId="2ADEF6AA" w14:textId="77777777" w:rsidR="00F52ACC" w:rsidRPr="006B7107" w:rsidRDefault="00EB58F7" w:rsidP="00F52ACC">
      <w:pPr>
        <w:rPr>
          <w:b/>
          <w:bCs/>
        </w:rPr>
      </w:pPr>
      <w:r w:rsidRPr="006B7107">
        <w:rPr>
          <w:b/>
          <w:bCs/>
        </w:rPr>
        <w:t xml:space="preserve"> </w:t>
      </w:r>
    </w:p>
    <w:p w14:paraId="2ADEF6AB" w14:textId="77777777" w:rsidR="00F52ACC" w:rsidRPr="006B7107" w:rsidRDefault="00D7703F" w:rsidP="00F52ACC">
      <w:pPr>
        <w:rPr>
          <w:b/>
          <w:bCs/>
        </w:rPr>
      </w:pPr>
      <w:r w:rsidRPr="006B7107">
        <w:rPr>
          <w:b/>
          <w:bCs/>
        </w:rPr>
        <w:t>INSTRUCTOR INFORMATION</w:t>
      </w:r>
    </w:p>
    <w:p w14:paraId="2ADEF6AC" w14:textId="77777777" w:rsidR="006835B9" w:rsidRPr="006B7107" w:rsidRDefault="006835B9" w:rsidP="006835B9">
      <w:pPr>
        <w:ind w:left="720"/>
        <w:rPr>
          <w:b/>
          <w:bCs/>
        </w:rPr>
      </w:pPr>
      <w:r w:rsidRPr="006B7107">
        <w:rPr>
          <w:b/>
          <w:bCs/>
        </w:rPr>
        <w:t xml:space="preserve">Name:  </w:t>
      </w:r>
    </w:p>
    <w:p w14:paraId="2ADEF6AD" w14:textId="77777777" w:rsidR="006835B9" w:rsidRPr="006B7107" w:rsidRDefault="006835B9" w:rsidP="006835B9">
      <w:pPr>
        <w:ind w:firstLine="720"/>
        <w:rPr>
          <w:b/>
          <w:bCs/>
        </w:rPr>
      </w:pPr>
      <w:r w:rsidRPr="006B7107">
        <w:rPr>
          <w:b/>
          <w:bCs/>
        </w:rPr>
        <w:t xml:space="preserve">Email:  </w:t>
      </w:r>
    </w:p>
    <w:p w14:paraId="2ADEF6AE" w14:textId="77777777" w:rsidR="006835B9" w:rsidRPr="006B7107" w:rsidRDefault="006835B9" w:rsidP="006835B9">
      <w:pPr>
        <w:ind w:firstLine="720"/>
        <w:rPr>
          <w:b/>
          <w:bCs/>
        </w:rPr>
      </w:pPr>
      <w:r w:rsidRPr="006B7107">
        <w:rPr>
          <w:b/>
          <w:bCs/>
        </w:rPr>
        <w:t xml:space="preserve">Phone: </w:t>
      </w:r>
    </w:p>
    <w:p w14:paraId="2ADEF6AF" w14:textId="77777777" w:rsidR="006835B9" w:rsidRPr="006B7107" w:rsidRDefault="006835B9" w:rsidP="006835B9">
      <w:pPr>
        <w:ind w:firstLine="720"/>
        <w:rPr>
          <w:b/>
          <w:bCs/>
        </w:rPr>
      </w:pPr>
      <w:r w:rsidRPr="006B7107">
        <w:rPr>
          <w:b/>
          <w:bCs/>
        </w:rPr>
        <w:t xml:space="preserve">Office:  </w:t>
      </w:r>
    </w:p>
    <w:p w14:paraId="2ADEF6B0" w14:textId="77777777" w:rsidR="006835B9" w:rsidRPr="006B7107" w:rsidRDefault="006835B9" w:rsidP="006835B9">
      <w:pPr>
        <w:ind w:firstLine="720"/>
        <w:rPr>
          <w:b/>
          <w:bCs/>
        </w:rPr>
      </w:pPr>
      <w:r w:rsidRPr="006B7107">
        <w:rPr>
          <w:b/>
          <w:bCs/>
        </w:rPr>
        <w:t xml:space="preserve">Office Hours:  </w:t>
      </w:r>
    </w:p>
    <w:p w14:paraId="2ADEF6B1" w14:textId="77777777" w:rsidR="006835B9" w:rsidRPr="006B7107" w:rsidRDefault="006835B9" w:rsidP="006835B9">
      <w:pPr>
        <w:ind w:firstLine="720"/>
        <w:rPr>
          <w:b/>
          <w:bCs/>
        </w:rPr>
      </w:pPr>
      <w:r w:rsidRPr="006B7107">
        <w:rPr>
          <w:b/>
          <w:bCs/>
        </w:rPr>
        <w:t xml:space="preserve">Class Location:  </w:t>
      </w:r>
    </w:p>
    <w:p w14:paraId="2ADEF6B2" w14:textId="77777777" w:rsidR="00076E31" w:rsidRPr="006B7107" w:rsidRDefault="00076E31" w:rsidP="00076E31">
      <w:pPr>
        <w:rPr>
          <w:b/>
        </w:rPr>
      </w:pPr>
    </w:p>
    <w:p w14:paraId="2ADEF6B3" w14:textId="7CB3E3F9" w:rsidR="006A4BFE" w:rsidRPr="006B7107" w:rsidRDefault="005D2D96" w:rsidP="002A47DA">
      <w:pPr>
        <w:widowControl w:val="0"/>
        <w:snapToGrid w:val="0"/>
        <w:rPr>
          <w:lang w:eastAsia="ar-SA"/>
        </w:rPr>
      </w:pPr>
      <w:r w:rsidRPr="006B7107">
        <w:rPr>
          <w:b/>
        </w:rPr>
        <w:t>COURSE DESCRIPTION</w:t>
      </w:r>
      <w:r w:rsidR="00F52ACC" w:rsidRPr="006B7107">
        <w:rPr>
          <w:b/>
        </w:rPr>
        <w:t>:</w:t>
      </w:r>
      <w:r w:rsidR="003E2109" w:rsidRPr="006B7107">
        <w:t xml:space="preserve"> </w:t>
      </w:r>
      <w:r w:rsidR="00E479A8" w:rsidRPr="006B7107">
        <w:t>BIOL 1500 is designed to provide l</w:t>
      </w:r>
      <w:r w:rsidR="003E2109" w:rsidRPr="006B7107">
        <w:t>aboratory exercises for studying the principles of biology from the cellular level including biochemistry, cell biology, molecular biology, and genetics. Three hours of laboratory per week. A laboratory fee is required for this course.</w:t>
      </w:r>
      <w:r w:rsidR="002A47DA" w:rsidRPr="006B7107">
        <w:t xml:space="preserve"> </w:t>
      </w:r>
      <w:r w:rsidR="003E2109" w:rsidRPr="006B7107">
        <w:t>(Science Majors)</w:t>
      </w:r>
    </w:p>
    <w:p w14:paraId="2ADEF6B4" w14:textId="77777777" w:rsidR="006A4BFE" w:rsidRPr="006B7107"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086CE553" w:rsidR="00F52ACC" w:rsidRPr="006B7107" w:rsidRDefault="005D2D96">
      <w:pPr>
        <w:rPr>
          <w:bCs/>
        </w:rPr>
      </w:pPr>
      <w:r w:rsidRPr="006B7107">
        <w:rPr>
          <w:b/>
          <w:bCs/>
        </w:rPr>
        <w:t>PREREQUISITES</w:t>
      </w:r>
      <w:r w:rsidR="00F52ACC" w:rsidRPr="006B7107">
        <w:rPr>
          <w:b/>
          <w:bCs/>
        </w:rPr>
        <w:t>:</w:t>
      </w:r>
      <w:r w:rsidR="00EB58F7" w:rsidRPr="006B7107">
        <w:rPr>
          <w:b/>
          <w:bCs/>
        </w:rPr>
        <w:t xml:space="preserve"> </w:t>
      </w:r>
      <w:r w:rsidR="003E2109" w:rsidRPr="006B7107">
        <w:t>BIOL 1010 or Co-requisite: BIOL 1100</w:t>
      </w:r>
      <w:r w:rsidR="00EB58F7" w:rsidRPr="006B7107">
        <w:rPr>
          <w:b/>
          <w:bCs/>
        </w:rPr>
        <w:t xml:space="preserve"> </w:t>
      </w:r>
    </w:p>
    <w:p w14:paraId="2ADEF6B6" w14:textId="77777777" w:rsidR="00F52ACC" w:rsidRPr="006B7107" w:rsidRDefault="00F52ACC">
      <w:pPr>
        <w:rPr>
          <w:b/>
          <w:bCs/>
        </w:rPr>
      </w:pPr>
    </w:p>
    <w:p w14:paraId="77BAE7D1" w14:textId="1348673B" w:rsidR="00AF79D9" w:rsidRPr="006B7107" w:rsidRDefault="005D2D96" w:rsidP="00E479A8">
      <w:pPr>
        <w:pStyle w:val="Heading2"/>
        <w:ind w:hanging="5040"/>
      </w:pPr>
      <w:r w:rsidRPr="006B7107">
        <w:t>LEARNING OUTCOMES</w:t>
      </w:r>
      <w:r w:rsidR="006A4BFE" w:rsidRPr="006B7107">
        <w:t>:</w:t>
      </w:r>
      <w:r w:rsidR="00EB58F7" w:rsidRPr="006B7107">
        <w:t xml:space="preserve">  </w:t>
      </w:r>
    </w:p>
    <w:p w14:paraId="43984BC9" w14:textId="5BAD0A37" w:rsidR="00E30C87" w:rsidRPr="006B7107" w:rsidRDefault="00E30C87" w:rsidP="00E479A8">
      <w:pPr>
        <w:pStyle w:val="ListParagraph"/>
        <w:numPr>
          <w:ilvl w:val="0"/>
          <w:numId w:val="13"/>
        </w:numPr>
      </w:pPr>
      <w:r w:rsidRPr="006B7107">
        <w:t>Record accurate measurements using metric instruments in the lab and convert from one metric unit to another</w:t>
      </w:r>
      <w:r w:rsidR="00E479A8" w:rsidRPr="006B7107">
        <w:t>.</w:t>
      </w:r>
    </w:p>
    <w:p w14:paraId="44A02B58" w14:textId="186DBA46" w:rsidR="00E30C87" w:rsidRPr="006B7107" w:rsidRDefault="00E30C87" w:rsidP="00E479A8">
      <w:pPr>
        <w:pStyle w:val="ListParagraph"/>
        <w:numPr>
          <w:ilvl w:val="0"/>
          <w:numId w:val="13"/>
        </w:numPr>
      </w:pPr>
      <w:r w:rsidRPr="006B7107">
        <w:t>Name all major parts of a microscope and demonstrate using a microscope to view a specimen</w:t>
      </w:r>
      <w:r w:rsidR="00E479A8" w:rsidRPr="006B7107">
        <w:t>.</w:t>
      </w:r>
    </w:p>
    <w:p w14:paraId="4FABBA31" w14:textId="448FBE2F" w:rsidR="00E30C87" w:rsidRPr="006B7107" w:rsidRDefault="00E30C87" w:rsidP="00E479A8">
      <w:pPr>
        <w:pStyle w:val="ListParagraph"/>
        <w:numPr>
          <w:ilvl w:val="0"/>
          <w:numId w:val="13"/>
        </w:numPr>
      </w:pPr>
      <w:r w:rsidRPr="006B7107">
        <w:t>Perform experiments, and record/analyze/interpret/extrapolate the data</w:t>
      </w:r>
      <w:r w:rsidR="00E479A8" w:rsidRPr="006B7107">
        <w:t>.</w:t>
      </w:r>
    </w:p>
    <w:p w14:paraId="0A12C0DF" w14:textId="597FF819" w:rsidR="00E30C87" w:rsidRPr="006B7107" w:rsidRDefault="00E30C87" w:rsidP="00E479A8">
      <w:pPr>
        <w:pStyle w:val="ListParagraph"/>
        <w:numPr>
          <w:ilvl w:val="0"/>
          <w:numId w:val="13"/>
        </w:numPr>
      </w:pPr>
      <w:r w:rsidRPr="006B7107">
        <w:t>Name all components of cells and describe their functions</w:t>
      </w:r>
      <w:r w:rsidR="00E479A8" w:rsidRPr="006B7107">
        <w:t>.</w:t>
      </w:r>
    </w:p>
    <w:p w14:paraId="0C7DE10A" w14:textId="1D5DCDEC" w:rsidR="00E30C87" w:rsidRPr="006B7107" w:rsidRDefault="00E30C87" w:rsidP="00E479A8">
      <w:pPr>
        <w:pStyle w:val="ListParagraph"/>
        <w:numPr>
          <w:ilvl w:val="0"/>
          <w:numId w:val="13"/>
        </w:numPr>
      </w:pPr>
      <w:r w:rsidRPr="006B7107">
        <w:t>Classify organisms by their cell characteristics</w:t>
      </w:r>
      <w:r w:rsidR="00E479A8" w:rsidRPr="006B7107">
        <w:t>.</w:t>
      </w:r>
    </w:p>
    <w:p w14:paraId="542EEEAF" w14:textId="32B18D5C" w:rsidR="00E30C87" w:rsidRPr="006B7107" w:rsidRDefault="00E30C87" w:rsidP="00E479A8">
      <w:pPr>
        <w:pStyle w:val="ListParagraph"/>
        <w:numPr>
          <w:ilvl w:val="0"/>
          <w:numId w:val="13"/>
        </w:numPr>
      </w:pPr>
      <w:r w:rsidRPr="006B7107">
        <w:t>Explain osmosis/diffusion, and predict the movement of molecules within a given system</w:t>
      </w:r>
      <w:r w:rsidR="00E479A8" w:rsidRPr="006B7107">
        <w:t>.</w:t>
      </w:r>
      <w:r w:rsidRPr="006B7107">
        <w:t xml:space="preserve"> </w:t>
      </w:r>
    </w:p>
    <w:p w14:paraId="2787964D" w14:textId="6088C5DB" w:rsidR="00E30C87" w:rsidRPr="006B7107" w:rsidRDefault="00E30C87" w:rsidP="00E479A8">
      <w:pPr>
        <w:pStyle w:val="ListParagraph"/>
        <w:numPr>
          <w:ilvl w:val="0"/>
          <w:numId w:val="13"/>
        </w:numPr>
      </w:pPr>
      <w:r w:rsidRPr="006B7107">
        <w:t>Identify cells in the different stages of cell division</w:t>
      </w:r>
      <w:r w:rsidR="00E479A8" w:rsidRPr="006B7107">
        <w:t>.</w:t>
      </w:r>
      <w:r w:rsidRPr="006B7107">
        <w:t xml:space="preserve"> </w:t>
      </w:r>
    </w:p>
    <w:p w14:paraId="179DE2F0" w14:textId="7A1B4EAD" w:rsidR="00E30C87" w:rsidRPr="006B7107" w:rsidRDefault="00E30C87" w:rsidP="00E479A8">
      <w:pPr>
        <w:pStyle w:val="ListParagraph"/>
        <w:numPr>
          <w:ilvl w:val="0"/>
          <w:numId w:val="13"/>
        </w:numPr>
      </w:pPr>
      <w:r w:rsidRPr="006B7107">
        <w:t>Classify body characteristics by their genetic inheritance pattern</w:t>
      </w:r>
      <w:r w:rsidR="00E479A8" w:rsidRPr="006B7107">
        <w:t>.</w:t>
      </w:r>
      <w:r w:rsidRPr="006B7107">
        <w:t xml:space="preserve"> </w:t>
      </w:r>
    </w:p>
    <w:p w14:paraId="1F17D84C" w14:textId="04A6472D" w:rsidR="00E30C87" w:rsidRPr="006B7107" w:rsidRDefault="00E30C87" w:rsidP="00E479A8">
      <w:pPr>
        <w:pStyle w:val="ListParagraph"/>
        <w:numPr>
          <w:ilvl w:val="0"/>
          <w:numId w:val="13"/>
        </w:numPr>
      </w:pPr>
      <w:r w:rsidRPr="006B7107">
        <w:t>Extract DNA material from cells and explain the importance of DNA</w:t>
      </w:r>
      <w:r w:rsidR="00E479A8" w:rsidRPr="006B7107">
        <w:t>.</w:t>
      </w:r>
    </w:p>
    <w:p w14:paraId="5322C3B5" w14:textId="77777777" w:rsidR="00AF79D9" w:rsidRPr="006B7107" w:rsidRDefault="00AF79D9" w:rsidP="00E30C87"/>
    <w:p w14:paraId="2ADEF6B8" w14:textId="77777777" w:rsidR="00BF5892" w:rsidRPr="006B7107" w:rsidRDefault="00BF5892" w:rsidP="00BF5892">
      <w:pPr>
        <w:rPr>
          <w:b/>
        </w:rPr>
      </w:pPr>
    </w:p>
    <w:p w14:paraId="517033B0" w14:textId="4625F9B6" w:rsidR="00F948F9" w:rsidRPr="006B7107" w:rsidRDefault="005D2D96" w:rsidP="00F948F9">
      <w:pPr>
        <w:rPr>
          <w:b/>
        </w:rPr>
      </w:pPr>
      <w:r w:rsidRPr="006B7107">
        <w:rPr>
          <w:b/>
        </w:rPr>
        <w:t>ASSESSMENT MEASURES</w:t>
      </w:r>
      <w:r w:rsidR="002A47DA" w:rsidRPr="006B7107">
        <w:rPr>
          <w:b/>
        </w:rPr>
        <w:t>:</w:t>
      </w:r>
      <w:r w:rsidR="00E479A8" w:rsidRPr="006B7107">
        <w:t xml:space="preserve"> (1) portfolios/essays, (2) journals, (3) homework/reader responses, (4) class participation/attendance, (5) quizzes and tests, (6) midterm/final. </w:t>
      </w:r>
      <w:r w:rsidR="00E479A8" w:rsidRPr="006B7107">
        <w:rPr>
          <w:b/>
        </w:rPr>
        <w:t>The instructor should consult departmental policies to determine required assessment measures to list here.</w:t>
      </w:r>
      <w:r w:rsidR="002A47DA" w:rsidRPr="006B7107">
        <w:rPr>
          <w:b/>
        </w:rPr>
        <w:t xml:space="preserve">  </w:t>
      </w:r>
    </w:p>
    <w:p w14:paraId="2ADEF6BA" w14:textId="2951C23E" w:rsidR="002C3219" w:rsidRPr="006B7107" w:rsidRDefault="002C3219" w:rsidP="002A47DA">
      <w:pPr>
        <w:pStyle w:val="Heading2"/>
        <w:ind w:left="0"/>
      </w:pPr>
    </w:p>
    <w:p w14:paraId="2ADEF6BB" w14:textId="17FFB7A0" w:rsidR="00235FDF" w:rsidRPr="006B7107" w:rsidRDefault="0016651A" w:rsidP="008E3B4A">
      <w:pPr>
        <w:pStyle w:val="Heading2"/>
        <w:ind w:hanging="5040"/>
        <w:rPr>
          <w:b w:val="0"/>
        </w:rPr>
      </w:pPr>
      <w:r w:rsidRPr="006B7107">
        <w:t>TEXTBOOK</w:t>
      </w:r>
      <w:r w:rsidR="005D2D96" w:rsidRPr="006B7107">
        <w:t>S</w:t>
      </w:r>
      <w:r w:rsidR="006A4BFE" w:rsidRPr="006B7107">
        <w:t xml:space="preserve">: </w:t>
      </w:r>
      <w:r w:rsidR="00EB58F7" w:rsidRPr="006B7107">
        <w:t xml:space="preserve"> </w:t>
      </w:r>
      <w:r w:rsidR="00AF79D9" w:rsidRPr="006B7107">
        <w:rPr>
          <w:b w:val="0"/>
        </w:rPr>
        <w:t>The instructor will enter</w:t>
      </w:r>
      <w:r w:rsidRPr="006B7107">
        <w:rPr>
          <w:b w:val="0"/>
        </w:rPr>
        <w:t xml:space="preserve"> the most current textbook information.</w:t>
      </w:r>
    </w:p>
    <w:p w14:paraId="2ADEF6BC" w14:textId="77777777" w:rsidR="002A47DA" w:rsidRPr="006B7107" w:rsidRDefault="002A47DA" w:rsidP="002A47DA"/>
    <w:p w14:paraId="628FE400" w14:textId="47440C91" w:rsidR="00F948F9" w:rsidRPr="006B7107" w:rsidRDefault="005D2D96" w:rsidP="00F948F9">
      <w:r w:rsidRPr="006B7107">
        <w:rPr>
          <w:b/>
        </w:rPr>
        <w:t>SUPPLIES AND EQUIPMENT</w:t>
      </w:r>
      <w:r w:rsidR="002A47DA" w:rsidRPr="006B7107">
        <w:rPr>
          <w:b/>
        </w:rPr>
        <w:t>:</w:t>
      </w:r>
      <w:r w:rsidR="00F948F9" w:rsidRPr="006B7107">
        <w:rPr>
          <w:b/>
        </w:rPr>
        <w:t xml:space="preserve"> </w:t>
      </w:r>
      <w:r w:rsidR="00AF79D9" w:rsidRPr="006B7107">
        <w:t>The instructor</w:t>
      </w:r>
      <w:r w:rsidR="00F948F9" w:rsidRPr="006B7107">
        <w:t xml:space="preserve"> will determine supplies needed.</w:t>
      </w:r>
    </w:p>
    <w:p w14:paraId="2ADEF6BD" w14:textId="45DDA1AB" w:rsidR="00235FDF" w:rsidRPr="006B7107" w:rsidRDefault="002A47DA" w:rsidP="00235FDF">
      <w:pPr>
        <w:rPr>
          <w:b/>
        </w:rPr>
      </w:pPr>
      <w:r w:rsidRPr="006B7107">
        <w:rPr>
          <w:b/>
        </w:rPr>
        <w:t xml:space="preserve"> </w:t>
      </w:r>
    </w:p>
    <w:p w14:paraId="74390D43" w14:textId="77777777" w:rsidR="006B7107" w:rsidRPr="00897420" w:rsidRDefault="006B7107" w:rsidP="006B710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BBEC02C" w14:textId="77777777" w:rsidR="006B7107" w:rsidRPr="00897420" w:rsidRDefault="006B7107" w:rsidP="006B7107">
      <w:pPr>
        <w:rPr>
          <w:b/>
          <w:bCs/>
        </w:rPr>
      </w:pPr>
    </w:p>
    <w:p w14:paraId="6FDF2323" w14:textId="77777777" w:rsidR="006B7107" w:rsidRPr="00897420" w:rsidRDefault="006B7107" w:rsidP="006B710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E53D6AC" w14:textId="77777777" w:rsidR="006B7107" w:rsidRPr="00897420" w:rsidRDefault="006B7107" w:rsidP="006B71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15F601F" w14:textId="77777777" w:rsidR="006B7107" w:rsidRPr="00897420" w:rsidRDefault="006B7107" w:rsidP="006B71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2F764B8" w14:textId="77777777" w:rsidR="006B7107" w:rsidRPr="00897420" w:rsidRDefault="006B7107" w:rsidP="006B71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7DFD06A" w14:textId="77777777" w:rsidR="006B7107" w:rsidRPr="00897420" w:rsidRDefault="006B7107" w:rsidP="006B71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04B7016" w14:textId="77777777" w:rsidR="006B7107" w:rsidRPr="00897420" w:rsidRDefault="006B7107" w:rsidP="006B71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6B7107" w:rsidRDefault="00235FDF" w:rsidP="00D1677D">
      <w:pPr>
        <w:rPr>
          <w:b/>
          <w:bCs/>
        </w:rPr>
      </w:pPr>
    </w:p>
    <w:p w14:paraId="0E43FB1C" w14:textId="7A05346E" w:rsidR="00F948F9" w:rsidRPr="006B7107" w:rsidRDefault="005D2D96" w:rsidP="00F948F9">
      <w:pPr>
        <w:pStyle w:val="Heading2"/>
        <w:ind w:left="0"/>
      </w:pPr>
      <w:r w:rsidRPr="006B7107">
        <w:t>GRADING REQUIREMENTS</w:t>
      </w:r>
      <w:r w:rsidR="002A47DA" w:rsidRPr="006B7107">
        <w:t xml:space="preserve">:  </w:t>
      </w:r>
      <w:r w:rsidR="00AF79D9" w:rsidRPr="006B7107">
        <w:t>The instructor</w:t>
      </w:r>
      <w:r w:rsidR="00F948F9" w:rsidRPr="006B7107">
        <w:t xml:space="preserve"> will follow departmental policies and include grading criteria here by assessment measure in either points or percentages.</w:t>
      </w:r>
    </w:p>
    <w:p w14:paraId="4377C1F0" w14:textId="77777777" w:rsidR="00E479A8" w:rsidRPr="006B7107" w:rsidRDefault="00E479A8" w:rsidP="00E479A8">
      <w:pPr>
        <w:widowControl w:val="0"/>
        <w:tabs>
          <w:tab w:val="left" w:pos="900"/>
          <w:tab w:val="left" w:pos="1530"/>
          <w:tab w:val="left" w:pos="2880"/>
        </w:tabs>
        <w:overflowPunct w:val="0"/>
        <w:autoSpaceDE w:val="0"/>
        <w:autoSpaceDN w:val="0"/>
        <w:adjustRightInd w:val="0"/>
        <w:textAlignment w:val="baseline"/>
      </w:pPr>
      <w:r w:rsidRPr="006B7107">
        <w:t>Example: Final Project 50%, Class activities/ assignments 30%, Class participation/ attendance 20%= Total 100%</w:t>
      </w:r>
    </w:p>
    <w:p w14:paraId="34B94ACF" w14:textId="77777777" w:rsidR="00E479A8" w:rsidRPr="006B7107" w:rsidRDefault="00E479A8" w:rsidP="00E479A8"/>
    <w:p w14:paraId="1A241F6C" w14:textId="25A14E01" w:rsidR="00F948F9" w:rsidRPr="006B7107" w:rsidRDefault="00F948F9" w:rsidP="00E479A8">
      <w:pPr>
        <w:snapToGrid w:val="0"/>
        <w:rPr>
          <w:b/>
          <w:bCs/>
        </w:rPr>
      </w:pPr>
      <w:r w:rsidRPr="006B7107">
        <w:rPr>
          <w:b/>
          <w:bCs/>
        </w:rPr>
        <w:t>GRADING SCALE: A: 90-100%, B: 80-89%, C: 70-79%, D: 60-69%, F: 0 -59 %</w:t>
      </w:r>
    </w:p>
    <w:p w14:paraId="383A317D" w14:textId="77777777" w:rsidR="00E479A8" w:rsidRPr="006B7107" w:rsidRDefault="00E479A8" w:rsidP="00E479A8">
      <w:pPr>
        <w:snapToGrid w:val="0"/>
        <w:rPr>
          <w:b/>
        </w:rPr>
      </w:pPr>
    </w:p>
    <w:p w14:paraId="335281EF" w14:textId="77777777" w:rsidR="006B7107" w:rsidRPr="00897420" w:rsidRDefault="006B7107" w:rsidP="006B710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F4F8051" w14:textId="77777777" w:rsidR="006B7107" w:rsidRPr="00897420" w:rsidRDefault="006B7107" w:rsidP="006B7107"/>
    <w:p w14:paraId="27FAA31B" w14:textId="77777777" w:rsidR="006B7107" w:rsidRPr="00897420" w:rsidRDefault="006B7107" w:rsidP="006B710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5500A10" w14:textId="77777777" w:rsidR="006B7107" w:rsidRPr="00897420" w:rsidRDefault="006B7107" w:rsidP="006B7107"/>
    <w:p w14:paraId="7A9EFE0C" w14:textId="77777777" w:rsidR="006B7107" w:rsidRPr="00897420" w:rsidRDefault="006B7107" w:rsidP="006B710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0850453" w14:textId="77777777" w:rsidR="006B7107" w:rsidRPr="00897420" w:rsidRDefault="006B7107" w:rsidP="006B7107"/>
    <w:p w14:paraId="4A03C8A2" w14:textId="77777777" w:rsidR="006B7107" w:rsidRPr="00897420" w:rsidRDefault="006B7107" w:rsidP="006B710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E34B896" w14:textId="77777777" w:rsidR="006B7107" w:rsidRPr="00897420" w:rsidRDefault="006B7107" w:rsidP="006B7107"/>
    <w:p w14:paraId="1799FBC8" w14:textId="77777777" w:rsidR="006B7107" w:rsidRPr="00897420" w:rsidRDefault="006B7107" w:rsidP="006B710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95CDE5C" w14:textId="77777777" w:rsidR="006B7107" w:rsidRPr="00897420" w:rsidRDefault="006B7107" w:rsidP="006B7107"/>
    <w:p w14:paraId="4ACB1376" w14:textId="77777777" w:rsidR="006B7107" w:rsidRPr="00897420" w:rsidRDefault="006B7107" w:rsidP="006B710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BB67DDE" w14:textId="77777777" w:rsidR="006B7107" w:rsidRPr="00897420" w:rsidRDefault="006B7107" w:rsidP="006B7107"/>
    <w:p w14:paraId="53078BFB" w14:textId="77777777" w:rsidR="006B7107" w:rsidRPr="00897420" w:rsidRDefault="006B7107" w:rsidP="006B710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3921065"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Never post profanity, racist, or sexist messages </w:t>
      </w:r>
    </w:p>
    <w:p w14:paraId="758BE853"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Be respectful of fellow students and instructors </w:t>
      </w:r>
    </w:p>
    <w:p w14:paraId="135CBF1A"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Never insult any person or their message content </w:t>
      </w:r>
    </w:p>
    <w:p w14:paraId="681C012A"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Never plagiarize or publish intellectual property </w:t>
      </w:r>
    </w:p>
    <w:p w14:paraId="1565955B"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Do not use text messaging abbreviations or slang </w:t>
      </w:r>
    </w:p>
    <w:p w14:paraId="751F8984" w14:textId="77777777" w:rsidR="006B7107" w:rsidRPr="00897420" w:rsidRDefault="006B7107" w:rsidP="006B7107">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55EB7567" w14:textId="77777777" w:rsidR="006B7107" w:rsidRPr="001072A4" w:rsidRDefault="006B7107" w:rsidP="006B7107"/>
    <w:p w14:paraId="2ADEF6D0" w14:textId="64ABF13C" w:rsidR="00CC7F37" w:rsidRPr="006B7107" w:rsidRDefault="00CC7F37" w:rsidP="006B7107">
      <w:pPr>
        <w:autoSpaceDE w:val="0"/>
        <w:autoSpaceDN w:val="0"/>
        <w:adjustRightInd w:val="0"/>
      </w:pPr>
      <w:bookmarkStart w:id="0" w:name="_GoBack"/>
      <w:bookmarkEnd w:id="0"/>
    </w:p>
    <w:sectPr w:rsidR="00CC7F37" w:rsidRPr="006B7107"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7293" w14:textId="77777777" w:rsidR="00E75066" w:rsidRDefault="00E75066" w:rsidP="00F52ACC">
      <w:r>
        <w:separator/>
      </w:r>
    </w:p>
  </w:endnote>
  <w:endnote w:type="continuationSeparator" w:id="0">
    <w:p w14:paraId="1C288063" w14:textId="77777777" w:rsidR="00E75066" w:rsidRDefault="00E7506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7960" w14:textId="77777777" w:rsidR="00E75066" w:rsidRDefault="00E75066" w:rsidP="00F52ACC">
      <w:r>
        <w:separator/>
      </w:r>
    </w:p>
  </w:footnote>
  <w:footnote w:type="continuationSeparator" w:id="0">
    <w:p w14:paraId="1E379A1A" w14:textId="77777777" w:rsidR="00E75066" w:rsidRDefault="00E7506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EF"/>
    <w:multiLevelType w:val="hybridMultilevel"/>
    <w:tmpl w:val="D534D524"/>
    <w:lvl w:ilvl="0" w:tplc="646E3DC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D098E"/>
    <w:multiLevelType w:val="hybridMultilevel"/>
    <w:tmpl w:val="82961E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13B01"/>
    <w:multiLevelType w:val="hybridMultilevel"/>
    <w:tmpl w:val="A7B0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8"/>
  </w:num>
  <w:num w:numId="5">
    <w:abstractNumId w:val="9"/>
  </w:num>
  <w:num w:numId="6">
    <w:abstractNumId w:val="13"/>
  </w:num>
  <w:num w:numId="7">
    <w:abstractNumId w:val="11"/>
  </w:num>
  <w:num w:numId="8">
    <w:abstractNumId w:val="10"/>
  </w:num>
  <w:num w:numId="9">
    <w:abstractNumId w:val="5"/>
  </w:num>
  <w:num w:numId="10">
    <w:abstractNumId w:val="1"/>
  </w:num>
  <w:num w:numId="11">
    <w:abstractNumId w:val="6"/>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3E2109"/>
    <w:rsid w:val="004229CB"/>
    <w:rsid w:val="00544C0B"/>
    <w:rsid w:val="005A2DB0"/>
    <w:rsid w:val="005C6C8D"/>
    <w:rsid w:val="005D2D96"/>
    <w:rsid w:val="00616E04"/>
    <w:rsid w:val="006342C9"/>
    <w:rsid w:val="006835B9"/>
    <w:rsid w:val="006A4BFE"/>
    <w:rsid w:val="006B211F"/>
    <w:rsid w:val="006B7107"/>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0C87"/>
    <w:rsid w:val="00E352FE"/>
    <w:rsid w:val="00E479A8"/>
    <w:rsid w:val="00E75066"/>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6B710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787E5-2F7D-4C94-9C26-41A070CF4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C84C8-5158-4187-A880-C609A673D780}">
  <ds:schemaRefs>
    <ds:schemaRef ds:uri="http://schemas.microsoft.com/sharepoint/v3/contenttype/forms"/>
  </ds:schemaRefs>
</ds:datastoreItem>
</file>

<file path=customXml/itemProps3.xml><?xml version="1.0" encoding="utf-8"?>
<ds:datastoreItem xmlns:ds="http://schemas.openxmlformats.org/officeDocument/2006/customXml" ds:itemID="{6DCC9E3D-70A2-4F0B-989A-F121ABA0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2017-07-11T15:54:00Z</dcterms:created>
  <dcterms:modified xsi:type="dcterms:W3CDTF">2020-08-10T19:42:00Z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