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A4BFE" w:rsidRDefault="00EA5BD3">
      <w:pPr>
        <w:pStyle w:val="Title"/>
        <w:jc w:val="center"/>
        <w:rPr>
          <w:sz w:val="20"/>
        </w:rPr>
      </w:pPr>
      <w:r>
        <w:rPr>
          <w:noProof/>
          <w:sz w:val="20"/>
        </w:rPr>
        <w:drawing>
          <wp:inline distT="0" distB="0" distL="0" distR="0" wp14:anchorId="58664C5B" wp14:editId="07777777">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45244C9F" w14:textId="75CA3C95" w:rsidR="00C76E08" w:rsidRPr="00C76E08" w:rsidRDefault="00C76E08" w:rsidP="00C76E08">
      <w:pPr>
        <w:jc w:val="center"/>
        <w:rPr>
          <w:b/>
          <w:bCs/>
        </w:rPr>
      </w:pPr>
      <w:r w:rsidRPr="00C76E08">
        <w:rPr>
          <w:b/>
          <w:bCs/>
        </w:rPr>
        <w:t>Master Syllabus</w:t>
      </w:r>
    </w:p>
    <w:p w14:paraId="326D0E5E" w14:textId="77777777" w:rsidR="00C76E08" w:rsidRPr="00C76E08" w:rsidRDefault="00C76E08" w:rsidP="006571AC">
      <w:pPr>
        <w:rPr>
          <w:b/>
          <w:bCs/>
        </w:rPr>
      </w:pPr>
    </w:p>
    <w:p w14:paraId="73521E00" w14:textId="1C9C476E" w:rsidR="006A4BFE" w:rsidRPr="00C76E08" w:rsidRDefault="005D2D96" w:rsidP="006571AC">
      <w:pPr>
        <w:rPr>
          <w:bCs/>
        </w:rPr>
      </w:pPr>
      <w:r w:rsidRPr="00C76E08">
        <w:rPr>
          <w:b/>
          <w:bCs/>
        </w:rPr>
        <w:t>COURSE</w:t>
      </w:r>
      <w:r w:rsidR="00076E31" w:rsidRPr="00C76E08">
        <w:rPr>
          <w:b/>
          <w:bCs/>
        </w:rPr>
        <w:t xml:space="preserve">:  </w:t>
      </w:r>
      <w:r w:rsidR="006A4BFE" w:rsidRPr="00C76E08">
        <w:rPr>
          <w:b/>
          <w:bCs/>
        </w:rPr>
        <w:tab/>
      </w:r>
      <w:r w:rsidR="00DA59BF" w:rsidRPr="00C76E08">
        <w:rPr>
          <w:bCs/>
        </w:rPr>
        <w:t xml:space="preserve">MAST </w:t>
      </w:r>
      <w:r w:rsidR="009F213B" w:rsidRPr="00C76E08">
        <w:rPr>
          <w:bCs/>
        </w:rPr>
        <w:t>1135</w:t>
      </w:r>
      <w:r w:rsidR="00DA59BF" w:rsidRPr="00C76E08">
        <w:rPr>
          <w:bCs/>
        </w:rPr>
        <w:t xml:space="preserve"> </w:t>
      </w:r>
      <w:r w:rsidR="009F213B" w:rsidRPr="00C76E08">
        <w:rPr>
          <w:bCs/>
        </w:rPr>
        <w:t>MEDICAL ASSISTING</w:t>
      </w:r>
      <w:r w:rsidR="00DA59BF" w:rsidRPr="00C76E08">
        <w:rPr>
          <w:bCs/>
        </w:rPr>
        <w:t xml:space="preserve"> II</w:t>
      </w:r>
      <w:r w:rsidR="006571AC" w:rsidRPr="00C76E08">
        <w:rPr>
          <w:bCs/>
        </w:rPr>
        <w:tab/>
      </w:r>
    </w:p>
    <w:p w14:paraId="0A37501D" w14:textId="77777777" w:rsidR="007D1581" w:rsidRPr="00C76E08" w:rsidRDefault="007D1581" w:rsidP="006571AC">
      <w:pPr>
        <w:rPr>
          <w:b/>
          <w:bCs/>
        </w:rPr>
      </w:pPr>
    </w:p>
    <w:p w14:paraId="10C002F1" w14:textId="77777777" w:rsidR="006A4BFE" w:rsidRPr="00C76E08" w:rsidRDefault="00076E31">
      <w:pPr>
        <w:rPr>
          <w:b/>
        </w:rPr>
      </w:pPr>
      <w:r w:rsidRPr="00C76E08">
        <w:rPr>
          <w:b/>
        </w:rPr>
        <w:t xml:space="preserve">CRN:  </w:t>
      </w:r>
    </w:p>
    <w:p w14:paraId="5DAB6C7B" w14:textId="77777777" w:rsidR="006A4BFE" w:rsidRPr="00C76E08" w:rsidRDefault="006A4BFE">
      <w:pPr>
        <w:rPr>
          <w:b/>
        </w:rPr>
      </w:pPr>
    </w:p>
    <w:p w14:paraId="44FA16D2" w14:textId="77777777" w:rsidR="007B452A" w:rsidRPr="00C76E08" w:rsidRDefault="005D2D96">
      <w:pPr>
        <w:rPr>
          <w:bCs/>
        </w:rPr>
      </w:pPr>
      <w:r w:rsidRPr="00C76E08">
        <w:rPr>
          <w:b/>
          <w:bCs/>
        </w:rPr>
        <w:t xml:space="preserve">CREDIT HOURS </w:t>
      </w:r>
      <w:r w:rsidR="006A4BFE" w:rsidRPr="00C76E08">
        <w:rPr>
          <w:b/>
          <w:bCs/>
        </w:rPr>
        <w:t xml:space="preserve">(Lecture/Lab/Total): </w:t>
      </w:r>
      <w:r w:rsidR="009F213B" w:rsidRPr="00C76E08">
        <w:rPr>
          <w:bCs/>
        </w:rPr>
        <w:t>0/4/4</w:t>
      </w:r>
      <w:r w:rsidR="00DA59BF" w:rsidRPr="00C76E08">
        <w:rPr>
          <w:bCs/>
        </w:rPr>
        <w:tab/>
      </w:r>
    </w:p>
    <w:p w14:paraId="02EB378F" w14:textId="77777777" w:rsidR="00DA59BF" w:rsidRPr="00C76E08" w:rsidRDefault="00DA59BF">
      <w:pPr>
        <w:rPr>
          <w:b/>
          <w:bCs/>
        </w:rPr>
      </w:pPr>
    </w:p>
    <w:p w14:paraId="24698D9C" w14:textId="77777777" w:rsidR="00A47E31" w:rsidRPr="00C76E08" w:rsidRDefault="005D2D96" w:rsidP="00F52ACC">
      <w:pPr>
        <w:rPr>
          <w:bCs/>
        </w:rPr>
      </w:pPr>
      <w:r w:rsidRPr="00C76E08">
        <w:rPr>
          <w:b/>
          <w:bCs/>
        </w:rPr>
        <w:t xml:space="preserve">CONTACT HOUR </w:t>
      </w:r>
      <w:r w:rsidR="006A4BFE" w:rsidRPr="00C76E08">
        <w:rPr>
          <w:b/>
          <w:bCs/>
        </w:rPr>
        <w:t>(Lecture/Lab/Total):</w:t>
      </w:r>
      <w:r w:rsidR="00EB58F7" w:rsidRPr="00C76E08">
        <w:rPr>
          <w:b/>
          <w:bCs/>
        </w:rPr>
        <w:t xml:space="preserve"> </w:t>
      </w:r>
      <w:r w:rsidR="009F213B" w:rsidRPr="00C76E08">
        <w:rPr>
          <w:bCs/>
        </w:rPr>
        <w:t>0/120</w:t>
      </w:r>
      <w:r w:rsidR="006C6CCB" w:rsidRPr="00C76E08">
        <w:rPr>
          <w:bCs/>
        </w:rPr>
        <w:t>/</w:t>
      </w:r>
      <w:r w:rsidR="009F213B" w:rsidRPr="00C76E08">
        <w:rPr>
          <w:bCs/>
        </w:rPr>
        <w:t>120</w:t>
      </w:r>
    </w:p>
    <w:p w14:paraId="29D6B04F" w14:textId="77777777" w:rsidR="00F52ACC" w:rsidRPr="00C76E08" w:rsidRDefault="00EB58F7" w:rsidP="00F52ACC">
      <w:pPr>
        <w:rPr>
          <w:b/>
          <w:bCs/>
        </w:rPr>
      </w:pPr>
      <w:r w:rsidRPr="00C76E08">
        <w:rPr>
          <w:b/>
          <w:bCs/>
        </w:rPr>
        <w:t xml:space="preserve"> </w:t>
      </w:r>
    </w:p>
    <w:p w14:paraId="21CCBF03" w14:textId="77777777" w:rsidR="00F52ACC" w:rsidRPr="00C76E08" w:rsidRDefault="00D7703F" w:rsidP="00F52ACC">
      <w:pPr>
        <w:rPr>
          <w:b/>
          <w:bCs/>
        </w:rPr>
      </w:pPr>
      <w:r w:rsidRPr="00C76E08">
        <w:rPr>
          <w:b/>
          <w:bCs/>
        </w:rPr>
        <w:t>INSTRUCTOR INFORMATION</w:t>
      </w:r>
    </w:p>
    <w:p w14:paraId="617F1DEC" w14:textId="77777777" w:rsidR="006835B9" w:rsidRPr="00C76E08" w:rsidRDefault="006835B9" w:rsidP="006835B9">
      <w:pPr>
        <w:ind w:left="720"/>
        <w:rPr>
          <w:b/>
          <w:bCs/>
        </w:rPr>
      </w:pPr>
      <w:r w:rsidRPr="00C76E08">
        <w:rPr>
          <w:b/>
          <w:bCs/>
        </w:rPr>
        <w:t xml:space="preserve">Name:  </w:t>
      </w:r>
    </w:p>
    <w:p w14:paraId="4DB50A43" w14:textId="77777777" w:rsidR="006835B9" w:rsidRPr="00C76E08" w:rsidRDefault="006835B9" w:rsidP="006835B9">
      <w:pPr>
        <w:ind w:firstLine="720"/>
        <w:rPr>
          <w:b/>
          <w:bCs/>
        </w:rPr>
      </w:pPr>
      <w:r w:rsidRPr="00C76E08">
        <w:rPr>
          <w:b/>
          <w:bCs/>
        </w:rPr>
        <w:t xml:space="preserve">Email:  </w:t>
      </w:r>
    </w:p>
    <w:p w14:paraId="7D4BA66A" w14:textId="77777777" w:rsidR="006835B9" w:rsidRPr="00C76E08" w:rsidRDefault="006835B9" w:rsidP="006835B9">
      <w:pPr>
        <w:ind w:firstLine="720"/>
        <w:rPr>
          <w:b/>
          <w:bCs/>
        </w:rPr>
      </w:pPr>
      <w:r w:rsidRPr="00C76E08">
        <w:rPr>
          <w:b/>
          <w:bCs/>
        </w:rPr>
        <w:t xml:space="preserve">Phone: </w:t>
      </w:r>
    </w:p>
    <w:p w14:paraId="27029E7A" w14:textId="77777777" w:rsidR="006835B9" w:rsidRPr="00C76E08" w:rsidRDefault="006835B9" w:rsidP="006835B9">
      <w:pPr>
        <w:ind w:firstLine="720"/>
        <w:rPr>
          <w:b/>
          <w:bCs/>
        </w:rPr>
      </w:pPr>
      <w:r w:rsidRPr="00C76E08">
        <w:rPr>
          <w:b/>
          <w:bCs/>
        </w:rPr>
        <w:t xml:space="preserve">Office:  </w:t>
      </w:r>
    </w:p>
    <w:p w14:paraId="0857121C" w14:textId="77777777" w:rsidR="006835B9" w:rsidRPr="00C76E08" w:rsidRDefault="006835B9" w:rsidP="006835B9">
      <w:pPr>
        <w:ind w:firstLine="720"/>
        <w:rPr>
          <w:b/>
          <w:bCs/>
        </w:rPr>
      </w:pPr>
      <w:r w:rsidRPr="00C76E08">
        <w:rPr>
          <w:b/>
          <w:bCs/>
        </w:rPr>
        <w:t xml:space="preserve">Office Hours:  </w:t>
      </w:r>
    </w:p>
    <w:p w14:paraId="0C0C2FFE" w14:textId="77777777" w:rsidR="006835B9" w:rsidRPr="00C76E08" w:rsidRDefault="006835B9" w:rsidP="006835B9">
      <w:pPr>
        <w:ind w:firstLine="720"/>
        <w:rPr>
          <w:b/>
          <w:bCs/>
        </w:rPr>
      </w:pPr>
      <w:r w:rsidRPr="00C76E08">
        <w:rPr>
          <w:b/>
          <w:bCs/>
        </w:rPr>
        <w:t xml:space="preserve">Class Location:  </w:t>
      </w:r>
    </w:p>
    <w:p w14:paraId="6A05A809" w14:textId="77777777" w:rsidR="00076E31" w:rsidRPr="00C76E08" w:rsidRDefault="00076E31" w:rsidP="00076E31">
      <w:pPr>
        <w:rPr>
          <w:b/>
        </w:rPr>
      </w:pPr>
    </w:p>
    <w:p w14:paraId="5A39BBE3" w14:textId="4196648F" w:rsidR="00245620" w:rsidRPr="00C76E08" w:rsidRDefault="005D2D96" w:rsidP="00245620">
      <w:pPr>
        <w:widowControl w:val="0"/>
        <w:snapToGrid w:val="0"/>
      </w:pPr>
      <w:r w:rsidRPr="00C76E08">
        <w:rPr>
          <w:b/>
        </w:rPr>
        <w:t>COURSE DESCRIPTION</w:t>
      </w:r>
      <w:r w:rsidR="00F52ACC" w:rsidRPr="00C76E08">
        <w:rPr>
          <w:b/>
        </w:rPr>
        <w:t>:</w:t>
      </w:r>
      <w:r w:rsidR="006A4BFE" w:rsidRPr="00C76E08">
        <w:t xml:space="preserve"> </w:t>
      </w:r>
      <w:r w:rsidR="002A47DA" w:rsidRPr="00C76E08">
        <w:t xml:space="preserve"> </w:t>
      </w:r>
      <w:r w:rsidR="00DA59BF" w:rsidRPr="00C76E08">
        <w:t>This c</w:t>
      </w:r>
      <w:r w:rsidR="007550BB" w:rsidRPr="00C76E08">
        <w:t>o</w:t>
      </w:r>
      <w:r w:rsidR="00DA59BF" w:rsidRPr="00C76E08">
        <w:t xml:space="preserve">urse will review methods to obtain and document assessment data obtained from the patient/client. Techniques needed to assist with the basic physical examination, special medical exams and procedures, minor surgical procedures, and the administration of selected medications will be identified. Practical application in selected clinical sites may be a part of this course. </w:t>
      </w:r>
      <w:r w:rsidR="009F213B" w:rsidRPr="00C76E08">
        <w:t>This course will also include discussion of the types of health insurance, insurance claims procedures and instruction in the application of the current version of the International Classification of Diseases, 2001, Revision, Clinical Modification (ICD-9-CM and ICD-10-CM) Classification System and Current Procedural Terminology (CPT). Students may participate in selected clinical sites as part of this course, if available.</w:t>
      </w:r>
    </w:p>
    <w:p w14:paraId="41C8F396" w14:textId="77777777" w:rsidR="00D10DD2" w:rsidRPr="00C76E08" w:rsidRDefault="00D10DD2" w:rsidP="00F27C53">
      <w:pPr>
        <w:widowControl w:val="0"/>
        <w:snapToGrid w:val="0"/>
        <w:rPr>
          <w:b/>
        </w:rPr>
      </w:pPr>
    </w:p>
    <w:p w14:paraId="412E2AA7" w14:textId="77777777" w:rsidR="006C6CCB" w:rsidRPr="00C76E08" w:rsidRDefault="005D2D96">
      <w:pPr>
        <w:rPr>
          <w:bCs/>
        </w:rPr>
      </w:pPr>
      <w:r w:rsidRPr="00C76E08">
        <w:rPr>
          <w:b/>
          <w:bCs/>
        </w:rPr>
        <w:t>PREREQUISITES</w:t>
      </w:r>
      <w:r w:rsidR="00F52ACC" w:rsidRPr="00C76E08">
        <w:rPr>
          <w:b/>
          <w:bCs/>
        </w:rPr>
        <w:t>:</w:t>
      </w:r>
      <w:r w:rsidR="00EB58F7" w:rsidRPr="00C76E08">
        <w:rPr>
          <w:b/>
          <w:bCs/>
        </w:rPr>
        <w:t xml:space="preserve">  </w:t>
      </w:r>
      <w:r w:rsidR="009F213B" w:rsidRPr="00C76E08">
        <w:rPr>
          <w:bCs/>
        </w:rPr>
        <w:t xml:space="preserve">MAST </w:t>
      </w:r>
      <w:r w:rsidR="003D626E" w:rsidRPr="00C76E08">
        <w:rPr>
          <w:bCs/>
        </w:rPr>
        <w:t>1125</w:t>
      </w:r>
    </w:p>
    <w:p w14:paraId="72A3D3EC" w14:textId="77777777" w:rsidR="00DA59BF" w:rsidRPr="00C76E08" w:rsidRDefault="00DA59BF">
      <w:pPr>
        <w:rPr>
          <w:b/>
          <w:bCs/>
        </w:rPr>
      </w:pPr>
    </w:p>
    <w:p w14:paraId="091AED76" w14:textId="77777777" w:rsidR="00294B47" w:rsidRPr="00C76E08" w:rsidRDefault="005D2D96" w:rsidP="006835B9">
      <w:pPr>
        <w:pStyle w:val="Heading2"/>
        <w:ind w:hanging="5040"/>
      </w:pPr>
      <w:r w:rsidRPr="00C76E08">
        <w:t>LEARNING OUTCOMES</w:t>
      </w:r>
      <w:r w:rsidR="006A4BFE" w:rsidRPr="00C76E08">
        <w:t>:</w:t>
      </w:r>
      <w:r w:rsidR="00EB58F7" w:rsidRPr="00C76E08">
        <w:t xml:space="preserve">  </w:t>
      </w:r>
    </w:p>
    <w:p w14:paraId="1EBE7165" w14:textId="77777777" w:rsidR="00F4634F" w:rsidRPr="00C76E08" w:rsidRDefault="00F4634F" w:rsidP="00F4634F">
      <w:r w:rsidRPr="00C76E08">
        <w:t>Upon completion of this with a minimum of</w:t>
      </w:r>
      <w:r w:rsidR="00F27C53" w:rsidRPr="00C76E08">
        <w:t xml:space="preserve"> 70%</w:t>
      </w:r>
      <w:r w:rsidRPr="00C76E08">
        <w:t xml:space="preserve"> accuracy, the student will </w:t>
      </w:r>
    </w:p>
    <w:p w14:paraId="0D0B940D" w14:textId="77777777" w:rsidR="00F4634F" w:rsidRPr="00C76E08" w:rsidRDefault="00F4634F" w:rsidP="00F4634F"/>
    <w:p w14:paraId="1FC11F0D" w14:textId="77777777" w:rsidR="00DA59BF" w:rsidRPr="00C76E08" w:rsidRDefault="00DA59BF" w:rsidP="00DA59BF">
      <w:pPr>
        <w:numPr>
          <w:ilvl w:val="0"/>
          <w:numId w:val="13"/>
        </w:numPr>
      </w:pPr>
      <w:r w:rsidRPr="00C76E08">
        <w:t>Describe the procedures used for preparation of the patient for the following physical examinations in a medical specialty office: allergy, dermatology, cardiovascular, endocrinology, gastrointestinal, lymphatic, musculoskeletal, nervous system, pediatrics, ENT and geriatric.</w:t>
      </w:r>
    </w:p>
    <w:p w14:paraId="7A2AA8E9" w14:textId="77777777" w:rsidR="00DA59BF" w:rsidRPr="00C76E08" w:rsidRDefault="00DA59BF" w:rsidP="00DA59BF">
      <w:pPr>
        <w:numPr>
          <w:ilvl w:val="0"/>
          <w:numId w:val="13"/>
        </w:numPr>
      </w:pPr>
      <w:r w:rsidRPr="00C76E08">
        <w:t>Define the different types of examinations.</w:t>
      </w:r>
    </w:p>
    <w:p w14:paraId="5E92FA63" w14:textId="77777777" w:rsidR="00DA59BF" w:rsidRPr="00C76E08" w:rsidRDefault="00DA59BF" w:rsidP="00DA59BF">
      <w:pPr>
        <w:numPr>
          <w:ilvl w:val="0"/>
          <w:numId w:val="13"/>
        </w:numPr>
      </w:pPr>
      <w:r w:rsidRPr="00C76E08">
        <w:t>Identify the equipment used in a physical examination and their functions.</w:t>
      </w:r>
    </w:p>
    <w:p w14:paraId="1C2737B6" w14:textId="77777777" w:rsidR="00DA59BF" w:rsidRPr="00C76E08" w:rsidRDefault="00DA59BF" w:rsidP="00DA59BF">
      <w:pPr>
        <w:numPr>
          <w:ilvl w:val="0"/>
          <w:numId w:val="13"/>
        </w:numPr>
      </w:pPr>
      <w:r w:rsidRPr="00C76E08">
        <w:t>Identify the different laboratory and diagnostic tests that may be a part of a complete physical examination.</w:t>
      </w:r>
    </w:p>
    <w:p w14:paraId="5969C2CA" w14:textId="77777777" w:rsidR="00DA59BF" w:rsidRPr="00C76E08" w:rsidRDefault="00DA59BF" w:rsidP="00DA59BF">
      <w:pPr>
        <w:numPr>
          <w:ilvl w:val="0"/>
          <w:numId w:val="13"/>
        </w:numPr>
      </w:pPr>
      <w:r w:rsidRPr="00C76E08">
        <w:t>Prepare the examination room for the complete physical examination.</w:t>
      </w:r>
    </w:p>
    <w:p w14:paraId="7FF51295" w14:textId="77777777" w:rsidR="00DA59BF" w:rsidRPr="00C76E08" w:rsidRDefault="00DA59BF" w:rsidP="00DA59BF">
      <w:pPr>
        <w:numPr>
          <w:ilvl w:val="0"/>
          <w:numId w:val="13"/>
        </w:numPr>
      </w:pPr>
      <w:r w:rsidRPr="00C76E08">
        <w:t>Prepare the patient for a complete physical examination including positioning, draping, and explanations.</w:t>
      </w:r>
    </w:p>
    <w:p w14:paraId="672172ED" w14:textId="77777777" w:rsidR="00DA59BF" w:rsidRPr="00C76E08" w:rsidRDefault="00DA59BF" w:rsidP="00DA59BF">
      <w:pPr>
        <w:numPr>
          <w:ilvl w:val="0"/>
          <w:numId w:val="13"/>
        </w:numPr>
      </w:pPr>
      <w:r w:rsidRPr="00C76E08">
        <w:t xml:space="preserve">Demonstrate how to assist the physician as needed during patient physical examination according to the examination being performed. </w:t>
      </w:r>
    </w:p>
    <w:p w14:paraId="414FF852" w14:textId="77777777" w:rsidR="00DA59BF" w:rsidRPr="00C76E08" w:rsidRDefault="00DA59BF" w:rsidP="00DA59BF">
      <w:pPr>
        <w:numPr>
          <w:ilvl w:val="0"/>
          <w:numId w:val="13"/>
        </w:numPr>
      </w:pPr>
      <w:r w:rsidRPr="00C76E08">
        <w:t xml:space="preserve">Identify the different surgical instruments and supplies needed for ambulatory surgical procedures. </w:t>
      </w:r>
    </w:p>
    <w:p w14:paraId="1DACF975" w14:textId="77777777" w:rsidR="00DA59BF" w:rsidRPr="00C76E08" w:rsidRDefault="00DA59BF" w:rsidP="00DA59BF">
      <w:pPr>
        <w:numPr>
          <w:ilvl w:val="0"/>
          <w:numId w:val="13"/>
        </w:numPr>
      </w:pPr>
      <w:r w:rsidRPr="00C76E08">
        <w:lastRenderedPageBreak/>
        <w:t xml:space="preserve">Utilize therapeutic communications techniques to provide patient education. </w:t>
      </w:r>
    </w:p>
    <w:p w14:paraId="0DFB1293" w14:textId="77777777" w:rsidR="00DA59BF" w:rsidRPr="00C76E08" w:rsidRDefault="00DA59BF" w:rsidP="00DA59BF">
      <w:pPr>
        <w:numPr>
          <w:ilvl w:val="0"/>
          <w:numId w:val="13"/>
        </w:numPr>
      </w:pPr>
      <w:r w:rsidRPr="00C76E08">
        <w:t>Prepare the patient and assist the physician with minor surgical procedures.</w:t>
      </w:r>
    </w:p>
    <w:p w14:paraId="0D23197E" w14:textId="77777777" w:rsidR="00DA59BF" w:rsidRPr="00C76E08" w:rsidRDefault="00DA59BF" w:rsidP="00DA59BF">
      <w:pPr>
        <w:numPr>
          <w:ilvl w:val="0"/>
          <w:numId w:val="13"/>
        </w:numPr>
      </w:pPr>
      <w:r w:rsidRPr="00C76E08">
        <w:t xml:space="preserve">Demonstrate how to properly care for the patient after the examination and/or procedure is completed </w:t>
      </w:r>
    </w:p>
    <w:p w14:paraId="20FB9BC1" w14:textId="77777777" w:rsidR="00DA59BF" w:rsidRPr="00C76E08" w:rsidRDefault="00DA59BF" w:rsidP="00DA59BF">
      <w:pPr>
        <w:numPr>
          <w:ilvl w:val="0"/>
          <w:numId w:val="13"/>
        </w:numPr>
      </w:pPr>
      <w:r w:rsidRPr="00C76E08">
        <w:t>Prepare the patient for discharge and provide discharge instructions</w:t>
      </w:r>
    </w:p>
    <w:p w14:paraId="008FBF72" w14:textId="77777777" w:rsidR="00DA59BF" w:rsidRPr="00C76E08" w:rsidRDefault="00DA59BF" w:rsidP="00DA59BF">
      <w:pPr>
        <w:numPr>
          <w:ilvl w:val="0"/>
          <w:numId w:val="13"/>
        </w:numPr>
      </w:pPr>
      <w:r w:rsidRPr="00C76E08">
        <w:t>Document discharge and patient education instructions as directed by physician.</w:t>
      </w:r>
    </w:p>
    <w:p w14:paraId="106174BB" w14:textId="77777777" w:rsidR="00DA59BF" w:rsidRPr="00C76E08" w:rsidRDefault="00DA59BF" w:rsidP="00DA59BF">
      <w:pPr>
        <w:numPr>
          <w:ilvl w:val="0"/>
          <w:numId w:val="13"/>
        </w:numPr>
      </w:pPr>
      <w:r w:rsidRPr="00C76E08">
        <w:t>Identify medical emergencies that may arise in an office setting.</w:t>
      </w:r>
    </w:p>
    <w:p w14:paraId="1B4A6948" w14:textId="77777777" w:rsidR="00DA59BF" w:rsidRPr="00C76E08" w:rsidRDefault="00DA59BF" w:rsidP="00DA59BF">
      <w:pPr>
        <w:numPr>
          <w:ilvl w:val="0"/>
          <w:numId w:val="13"/>
        </w:numPr>
      </w:pPr>
      <w:r w:rsidRPr="00C76E08">
        <w:t xml:space="preserve">Demonstrate interventions that must be done in the event of a medical emergency in an office setting. </w:t>
      </w:r>
    </w:p>
    <w:p w14:paraId="5719A279" w14:textId="77777777" w:rsidR="00DA59BF" w:rsidRPr="00C76E08" w:rsidRDefault="00DA59BF" w:rsidP="00DA59BF">
      <w:pPr>
        <w:numPr>
          <w:ilvl w:val="0"/>
          <w:numId w:val="13"/>
        </w:numPr>
      </w:pPr>
      <w:r w:rsidRPr="00C76E08">
        <w:t>Demonstrate competence in performance of technical skills in classroom and lab settings.</w:t>
      </w:r>
    </w:p>
    <w:p w14:paraId="7F3521C6" w14:textId="77777777" w:rsidR="009F213B" w:rsidRPr="00C76E08" w:rsidRDefault="009F213B" w:rsidP="009F213B">
      <w:pPr>
        <w:numPr>
          <w:ilvl w:val="0"/>
          <w:numId w:val="13"/>
        </w:numPr>
      </w:pPr>
      <w:r w:rsidRPr="00C76E08">
        <w:t>Identify the differences in benefits and billing requirements in the types of health insurance plans available including group plans, individual, private, and government-sponsored policies.</w:t>
      </w:r>
    </w:p>
    <w:p w14:paraId="2AD8D4D2" w14:textId="77777777" w:rsidR="009F213B" w:rsidRPr="00C76E08" w:rsidRDefault="009F213B" w:rsidP="009F213B">
      <w:pPr>
        <w:numPr>
          <w:ilvl w:val="0"/>
          <w:numId w:val="13"/>
        </w:numPr>
      </w:pPr>
      <w:r w:rsidRPr="00C76E08">
        <w:t>List the purposes and types of health insurance plans available, giving examples of each.</w:t>
      </w:r>
    </w:p>
    <w:p w14:paraId="1200C5CA" w14:textId="77777777" w:rsidR="009F213B" w:rsidRPr="00C76E08" w:rsidRDefault="009F213B" w:rsidP="009F213B">
      <w:pPr>
        <w:numPr>
          <w:ilvl w:val="0"/>
          <w:numId w:val="13"/>
        </w:numPr>
      </w:pPr>
      <w:r w:rsidRPr="00C76E08">
        <w:t>Describe the importance of correlating accurate diagnostic (ICD-9-CM and/or ICD-10-CM) and procedural coding (CPT) in processing insurance claim forms to receive prompt payment of benefits.</w:t>
      </w:r>
    </w:p>
    <w:p w14:paraId="226FEE60" w14:textId="77777777" w:rsidR="009F213B" w:rsidRPr="00C76E08" w:rsidRDefault="009F213B" w:rsidP="009F213B">
      <w:pPr>
        <w:numPr>
          <w:ilvl w:val="0"/>
          <w:numId w:val="13"/>
        </w:numPr>
      </w:pPr>
      <w:r w:rsidRPr="00C76E08">
        <w:t>Describe in detail the procedure for completing HCFA-1500 standard insurance claim forms with accuracy, legibility, and confidentiality.</w:t>
      </w:r>
    </w:p>
    <w:p w14:paraId="444FB4D8" w14:textId="77777777" w:rsidR="009F213B" w:rsidRPr="00C76E08" w:rsidRDefault="55DB0190" w:rsidP="009F213B">
      <w:pPr>
        <w:numPr>
          <w:ilvl w:val="0"/>
          <w:numId w:val="13"/>
        </w:numPr>
      </w:pPr>
      <w:r w:rsidRPr="00C76E08">
        <w:t>Identify benefits/procedures and answer patient/client questions concerning insurance claims/benefits as a component of patient education.</w:t>
      </w:r>
    </w:p>
    <w:p w14:paraId="046966FF" w14:textId="77777777" w:rsidR="009F213B" w:rsidRPr="00C76E08" w:rsidRDefault="009F213B" w:rsidP="009F213B">
      <w:pPr>
        <w:numPr>
          <w:ilvl w:val="0"/>
          <w:numId w:val="13"/>
        </w:numPr>
      </w:pPr>
      <w:r w:rsidRPr="00C76E08">
        <w:t>Identify rules for assignment of CPT codes to disease, injuries, and procedures.</w:t>
      </w:r>
    </w:p>
    <w:p w14:paraId="072BA676" w14:textId="77777777" w:rsidR="009F213B" w:rsidRPr="00C76E08" w:rsidRDefault="009F213B" w:rsidP="009F213B">
      <w:pPr>
        <w:numPr>
          <w:ilvl w:val="0"/>
          <w:numId w:val="13"/>
        </w:numPr>
      </w:pPr>
      <w:r w:rsidRPr="00C76E08">
        <w:t>Complete the Universal Health Insurance claims form (HCFA-1500).</w:t>
      </w:r>
    </w:p>
    <w:p w14:paraId="082AC141" w14:textId="77777777" w:rsidR="009F213B" w:rsidRPr="00C76E08" w:rsidRDefault="55DB0190" w:rsidP="009F213B">
      <w:pPr>
        <w:numPr>
          <w:ilvl w:val="0"/>
          <w:numId w:val="13"/>
        </w:numPr>
      </w:pPr>
      <w:r w:rsidRPr="00C76E08">
        <w:t>Demonstrate how to submit Medicare claims electronically.</w:t>
      </w:r>
    </w:p>
    <w:p w14:paraId="4E38134E" w14:textId="77777777" w:rsidR="009F213B" w:rsidRPr="00C76E08" w:rsidRDefault="009F213B" w:rsidP="009F213B">
      <w:pPr>
        <w:numPr>
          <w:ilvl w:val="0"/>
          <w:numId w:val="13"/>
        </w:numPr>
      </w:pPr>
      <w:r w:rsidRPr="00C76E08">
        <w:t>Identify rules for assignment of ICD-9-CM and/or ICD-10-CM codes to disease, injuries, and procedures.</w:t>
      </w:r>
    </w:p>
    <w:p w14:paraId="230FA18D" w14:textId="77777777" w:rsidR="009F213B" w:rsidRPr="00C76E08" w:rsidRDefault="009F213B" w:rsidP="009F213B">
      <w:pPr>
        <w:numPr>
          <w:ilvl w:val="0"/>
          <w:numId w:val="13"/>
        </w:numPr>
      </w:pPr>
      <w:r w:rsidRPr="00C76E08">
        <w:t>Demonstrate proficiency in assigning ICD-9-CM and/or ICD-10-CM and CPT codes to disease, injuries, and procedures.</w:t>
      </w:r>
    </w:p>
    <w:p w14:paraId="5DE56805" w14:textId="77777777" w:rsidR="009F213B" w:rsidRPr="00C76E08" w:rsidRDefault="009F213B" w:rsidP="009F213B">
      <w:pPr>
        <w:numPr>
          <w:ilvl w:val="0"/>
          <w:numId w:val="13"/>
        </w:numPr>
      </w:pPr>
      <w:r w:rsidRPr="00C76E08">
        <w:t>Complete the assigned exercises and Review Exercises for ICD-9-CM and/or ICD-10-CM and CPT codes.</w:t>
      </w:r>
    </w:p>
    <w:p w14:paraId="60061E4C" w14:textId="419C88D5" w:rsidR="0003590A" w:rsidRPr="00C76E08" w:rsidRDefault="0003590A" w:rsidP="00C76E08"/>
    <w:p w14:paraId="2FAEBC5E" w14:textId="77777777" w:rsidR="00F27C53" w:rsidRPr="00C76E08" w:rsidRDefault="005D2D96" w:rsidP="00F27C53">
      <w:r w:rsidRPr="00C76E08">
        <w:rPr>
          <w:b/>
        </w:rPr>
        <w:t>ASSESSMENT MEASURES</w:t>
      </w:r>
      <w:r w:rsidR="002A47DA" w:rsidRPr="00C76E08">
        <w:rPr>
          <w:b/>
        </w:rPr>
        <w:t xml:space="preserve">:  </w:t>
      </w:r>
      <w:r w:rsidR="00F4634F" w:rsidRPr="00C76E08">
        <w:t xml:space="preserve">Student assessments will be based upon </w:t>
      </w:r>
      <w:r w:rsidR="00F27C53" w:rsidRPr="00C76E08">
        <w:t>tests, quizzes, classroom activities, lab activities</w:t>
      </w:r>
      <w:r w:rsidR="0003590A" w:rsidRPr="00C76E08">
        <w:t>, projects, homework</w:t>
      </w:r>
    </w:p>
    <w:p w14:paraId="44EAFD9C" w14:textId="77777777" w:rsidR="00F27C53" w:rsidRPr="00C76E08" w:rsidRDefault="00F27C53" w:rsidP="00F27C53"/>
    <w:p w14:paraId="078D276E" w14:textId="77777777" w:rsidR="00235FDF" w:rsidRPr="00C76E08" w:rsidRDefault="005D2D96" w:rsidP="008E3B4A">
      <w:pPr>
        <w:pStyle w:val="Heading2"/>
        <w:ind w:hanging="5040"/>
      </w:pPr>
      <w:r w:rsidRPr="00C76E08">
        <w:t>TEXTBOOK/S</w:t>
      </w:r>
      <w:r w:rsidR="006A4BFE" w:rsidRPr="00C76E08">
        <w:t xml:space="preserve">: </w:t>
      </w:r>
      <w:r w:rsidR="00EB58F7" w:rsidRPr="00C76E08">
        <w:t xml:space="preserve"> </w:t>
      </w:r>
    </w:p>
    <w:p w14:paraId="1A091A8F" w14:textId="698E2C95" w:rsidR="00FF223E" w:rsidRPr="00C76E08" w:rsidRDefault="55DB0190" w:rsidP="00FF223E">
      <w:r w:rsidRPr="00C76E08">
        <w:t xml:space="preserve">Beaman, Routh, Papazian-Boyce, Sesser, Maly, &amp; Mills. </w:t>
      </w:r>
      <w:r w:rsidRPr="00C76E08">
        <w:rPr>
          <w:i/>
          <w:iCs/>
        </w:rPr>
        <w:t>Pearson's Comprehensive Medical Assisting</w:t>
      </w:r>
      <w:r w:rsidRPr="00C76E08">
        <w:t xml:space="preserve"> 4th edition</w:t>
      </w:r>
    </w:p>
    <w:p w14:paraId="40052E59" w14:textId="77777777" w:rsidR="00FF223E" w:rsidRPr="00C76E08" w:rsidRDefault="00FF223E" w:rsidP="00FF223E">
      <w:r w:rsidRPr="00C76E08">
        <w:t>ISBN 9780133563979</w:t>
      </w:r>
    </w:p>
    <w:p w14:paraId="4B94D5A5" w14:textId="77777777" w:rsidR="00FF223E" w:rsidRPr="00C76E08" w:rsidRDefault="00FF223E" w:rsidP="00FF223E">
      <w:pPr>
        <w:rPr>
          <w:i/>
        </w:rPr>
      </w:pPr>
    </w:p>
    <w:p w14:paraId="4D25D8C0" w14:textId="0B479BF2" w:rsidR="00FF223E" w:rsidRPr="00C76E08" w:rsidRDefault="55DB0190" w:rsidP="00FF223E">
      <w:r w:rsidRPr="00C76E08">
        <w:rPr>
          <w:i/>
          <w:iCs/>
        </w:rPr>
        <w:t>Pearson's Comprehensive Medical Assisting</w:t>
      </w:r>
      <w:r w:rsidRPr="00C76E08">
        <w:t xml:space="preserve"> 4th edition workbook</w:t>
      </w:r>
    </w:p>
    <w:p w14:paraId="1B0AD099" w14:textId="77777777" w:rsidR="00FF223E" w:rsidRPr="00C76E08" w:rsidRDefault="00FF223E" w:rsidP="00FF223E">
      <w:r w:rsidRPr="00C76E08">
        <w:t>ISBN 978-0133563986</w:t>
      </w:r>
    </w:p>
    <w:p w14:paraId="3DEEC669" w14:textId="77777777" w:rsidR="002A47DA" w:rsidRPr="00C76E08" w:rsidRDefault="002A47DA" w:rsidP="002A47DA"/>
    <w:p w14:paraId="05E39BA3" w14:textId="77777777" w:rsidR="00235FDF" w:rsidRPr="00C76E08" w:rsidRDefault="005D2D96" w:rsidP="00235FDF">
      <w:r w:rsidRPr="00C76E08">
        <w:rPr>
          <w:b/>
        </w:rPr>
        <w:t>SUPPLIES AND EQUIPMENT</w:t>
      </w:r>
      <w:r w:rsidR="002A47DA" w:rsidRPr="00C76E08">
        <w:rPr>
          <w:b/>
        </w:rPr>
        <w:t xml:space="preserve">: </w:t>
      </w:r>
      <w:r w:rsidR="00F4634F" w:rsidRPr="00C76E08">
        <w:rPr>
          <w:b/>
        </w:rPr>
        <w:t xml:space="preserve"> </w:t>
      </w:r>
    </w:p>
    <w:p w14:paraId="3656B9AB" w14:textId="77777777" w:rsidR="006A4BFE" w:rsidRPr="00C76E08" w:rsidRDefault="006A4BFE">
      <w:pPr>
        <w:rPr>
          <w:b/>
          <w:bCs/>
        </w:rPr>
      </w:pPr>
    </w:p>
    <w:p w14:paraId="4A57923B" w14:textId="77777777" w:rsidR="00C76E08" w:rsidRPr="00897420" w:rsidRDefault="00C76E08" w:rsidP="00C76E0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C91CF81" w14:textId="77777777" w:rsidR="00C76E08" w:rsidRPr="00897420" w:rsidRDefault="00C76E08" w:rsidP="00C76E08">
      <w:pPr>
        <w:rPr>
          <w:b/>
          <w:bCs/>
        </w:rPr>
      </w:pPr>
    </w:p>
    <w:p w14:paraId="20D25B30" w14:textId="77777777" w:rsidR="00C76E08" w:rsidRPr="00897420" w:rsidRDefault="00C76E08" w:rsidP="00C76E0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lastRenderedPageBreak/>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100F350" w14:textId="77777777" w:rsidR="00C76E08" w:rsidRPr="00897420" w:rsidRDefault="00C76E08" w:rsidP="00C76E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C832AB6" w14:textId="77777777" w:rsidR="00C76E08" w:rsidRPr="00897420" w:rsidRDefault="00C76E08" w:rsidP="00C76E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F0A827A" w14:textId="77777777" w:rsidR="00C76E08" w:rsidRPr="00897420" w:rsidRDefault="00C76E08" w:rsidP="00C76E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13C4D8C" w14:textId="77777777" w:rsidR="00C76E08" w:rsidRPr="00897420" w:rsidRDefault="00C76E08" w:rsidP="00C76E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177DBC9" w14:textId="77777777" w:rsidR="00C76E08" w:rsidRPr="00897420" w:rsidRDefault="00C76E08" w:rsidP="00C76E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FB0818" w14:textId="77777777" w:rsidR="00F4634F" w:rsidRPr="00C76E08" w:rsidRDefault="00F4634F" w:rsidP="00F4634F">
      <w:pPr>
        <w:rPr>
          <w:b/>
          <w:bCs/>
        </w:rPr>
      </w:pPr>
    </w:p>
    <w:p w14:paraId="6105F107" w14:textId="2304F8DD" w:rsidR="00F4634F" w:rsidRPr="00C76E08" w:rsidRDefault="00C76E08" w:rsidP="00F4634F">
      <w:pPr>
        <w:rPr>
          <w:rFonts w:eastAsia="Calibri"/>
          <w:b/>
        </w:rPr>
      </w:pPr>
      <w:r w:rsidRPr="00C76E08">
        <w:rPr>
          <w:rFonts w:eastAsia="Calibri"/>
          <w:b/>
        </w:rPr>
        <w:t>GRADING REQUIREMENTS</w:t>
      </w:r>
      <w:r w:rsidR="00F4634F" w:rsidRPr="00C76E08">
        <w:rPr>
          <w:rFonts w:eastAsia="Calibri"/>
          <w:b/>
        </w:rPr>
        <w:t>:</w:t>
      </w:r>
      <w:r w:rsidR="00F4634F" w:rsidRPr="00C76E08">
        <w:rPr>
          <w:rFonts w:eastAsia="Calibri"/>
        </w:rPr>
        <w:t xml:space="preserve">  </w:t>
      </w:r>
      <w:r w:rsidR="007B452A" w:rsidRPr="00C76E08">
        <w:rPr>
          <w:rFonts w:eastAsia="Calibri"/>
        </w:rPr>
        <w:t>Students must complete this class with a 70% or better competency to obtain credit for this class.</w:t>
      </w:r>
    </w:p>
    <w:p w14:paraId="049F31CB" w14:textId="77777777" w:rsidR="00F27C53" w:rsidRPr="00C76E08" w:rsidRDefault="00F27C53" w:rsidP="00F4634F">
      <w:pPr>
        <w:rPr>
          <w:rFonts w:eastAsia="Calibri"/>
          <w:sz w:val="28"/>
          <w:highlight w:val="cyan"/>
        </w:rPr>
      </w:pPr>
    </w:p>
    <w:p w14:paraId="2AB25464" w14:textId="77777777" w:rsidR="00F4634F" w:rsidRPr="00C76E08" w:rsidRDefault="00F4634F" w:rsidP="00F4634F">
      <w:pPr>
        <w:rPr>
          <w:b/>
        </w:rPr>
      </w:pPr>
      <w:r w:rsidRPr="00C76E08">
        <w:rPr>
          <w:b/>
          <w:sz w:val="28"/>
        </w:rPr>
        <w:t>Grading Scale</w:t>
      </w:r>
      <w:r w:rsidRPr="00C76E08">
        <w:rPr>
          <w:b/>
        </w:rPr>
        <w:t>:</w:t>
      </w:r>
    </w:p>
    <w:p w14:paraId="7D1485DB" w14:textId="77777777" w:rsidR="00F27C53" w:rsidRPr="00C76E08" w:rsidRDefault="00587171" w:rsidP="00F27C53">
      <w:pPr>
        <w:autoSpaceDE w:val="0"/>
        <w:autoSpaceDN w:val="0"/>
        <w:adjustRightInd w:val="0"/>
        <w:rPr>
          <w:rFonts w:eastAsia="Calibri"/>
        </w:rPr>
      </w:pPr>
      <w:r w:rsidRPr="00C76E08">
        <w:rPr>
          <w:rFonts w:eastAsia="Calibri"/>
        </w:rPr>
        <w:t>90-100</w:t>
      </w:r>
      <w:r w:rsidRPr="00C76E08">
        <w:rPr>
          <w:rFonts w:eastAsia="Calibri"/>
        </w:rPr>
        <w:tab/>
      </w:r>
      <w:r w:rsidR="00F27C53" w:rsidRPr="00C76E08">
        <w:rPr>
          <w:rFonts w:eastAsia="Calibri"/>
        </w:rPr>
        <w:tab/>
        <w:t>A</w:t>
      </w:r>
      <w:r w:rsidR="00F27C53" w:rsidRPr="00C76E08">
        <w:rPr>
          <w:rFonts w:eastAsia="Calibri"/>
        </w:rPr>
        <w:tab/>
      </w:r>
    </w:p>
    <w:p w14:paraId="6472BC90" w14:textId="77777777" w:rsidR="00F27C53" w:rsidRPr="00C76E08" w:rsidRDefault="00587171" w:rsidP="00F27C53">
      <w:pPr>
        <w:autoSpaceDE w:val="0"/>
        <w:autoSpaceDN w:val="0"/>
        <w:adjustRightInd w:val="0"/>
        <w:rPr>
          <w:rFonts w:eastAsia="Calibri"/>
        </w:rPr>
      </w:pPr>
      <w:r w:rsidRPr="00C76E08">
        <w:rPr>
          <w:rFonts w:eastAsia="Calibri"/>
        </w:rPr>
        <w:t>80-89</w:t>
      </w:r>
      <w:r w:rsidR="00F27C53" w:rsidRPr="00C76E08">
        <w:rPr>
          <w:rFonts w:eastAsia="Calibri"/>
        </w:rPr>
        <w:tab/>
      </w:r>
      <w:r w:rsidRPr="00C76E08">
        <w:rPr>
          <w:rFonts w:eastAsia="Calibri"/>
        </w:rPr>
        <w:tab/>
      </w:r>
      <w:r w:rsidR="00F27C53" w:rsidRPr="00C76E08">
        <w:rPr>
          <w:rFonts w:eastAsia="Calibri"/>
        </w:rPr>
        <w:t>B</w:t>
      </w:r>
      <w:r w:rsidR="00F27C53" w:rsidRPr="00C76E08">
        <w:rPr>
          <w:rFonts w:eastAsia="Calibri"/>
        </w:rPr>
        <w:tab/>
      </w:r>
    </w:p>
    <w:p w14:paraId="777446E6" w14:textId="77777777" w:rsidR="00F27C53" w:rsidRPr="00C76E08" w:rsidRDefault="00587171" w:rsidP="00F27C53">
      <w:pPr>
        <w:autoSpaceDE w:val="0"/>
        <w:autoSpaceDN w:val="0"/>
        <w:adjustRightInd w:val="0"/>
        <w:rPr>
          <w:rFonts w:eastAsia="Calibri"/>
        </w:rPr>
      </w:pPr>
      <w:r w:rsidRPr="00C76E08">
        <w:rPr>
          <w:rFonts w:eastAsia="Calibri"/>
        </w:rPr>
        <w:t>70-79</w:t>
      </w:r>
      <w:r w:rsidR="00F27C53" w:rsidRPr="00C76E08">
        <w:rPr>
          <w:rFonts w:eastAsia="Calibri"/>
        </w:rPr>
        <w:tab/>
      </w:r>
      <w:r w:rsidRPr="00C76E08">
        <w:rPr>
          <w:rFonts w:eastAsia="Calibri"/>
        </w:rPr>
        <w:tab/>
      </w:r>
      <w:r w:rsidR="00F27C53" w:rsidRPr="00C76E08">
        <w:rPr>
          <w:rFonts w:eastAsia="Calibri"/>
        </w:rPr>
        <w:t>C</w:t>
      </w:r>
      <w:r w:rsidR="00F27C53" w:rsidRPr="00C76E08">
        <w:rPr>
          <w:rFonts w:eastAsia="Calibri"/>
        </w:rPr>
        <w:tab/>
      </w:r>
    </w:p>
    <w:p w14:paraId="731030AF" w14:textId="77777777" w:rsidR="00F27C53" w:rsidRPr="00C76E08" w:rsidRDefault="00587171" w:rsidP="00F27C53">
      <w:pPr>
        <w:autoSpaceDE w:val="0"/>
        <w:autoSpaceDN w:val="0"/>
        <w:adjustRightInd w:val="0"/>
        <w:rPr>
          <w:rFonts w:eastAsia="Calibri"/>
        </w:rPr>
      </w:pPr>
      <w:r w:rsidRPr="00C76E08">
        <w:rPr>
          <w:rFonts w:eastAsia="Calibri"/>
        </w:rPr>
        <w:t>60-69</w:t>
      </w:r>
      <w:r w:rsidR="00F27C53" w:rsidRPr="00C76E08">
        <w:rPr>
          <w:rFonts w:eastAsia="Calibri"/>
        </w:rPr>
        <w:tab/>
      </w:r>
      <w:r w:rsidRPr="00C76E08">
        <w:rPr>
          <w:rFonts w:eastAsia="Calibri"/>
        </w:rPr>
        <w:tab/>
      </w:r>
      <w:r w:rsidR="00F27C53" w:rsidRPr="00C76E08">
        <w:rPr>
          <w:rFonts w:eastAsia="Calibri"/>
        </w:rPr>
        <w:t>D</w:t>
      </w:r>
      <w:r w:rsidR="00F27C53" w:rsidRPr="00C76E08">
        <w:rPr>
          <w:rFonts w:eastAsia="Calibri"/>
        </w:rPr>
        <w:tab/>
      </w:r>
    </w:p>
    <w:p w14:paraId="75B48A21" w14:textId="77777777" w:rsidR="00294B47" w:rsidRPr="00C76E08" w:rsidRDefault="00587171" w:rsidP="00F27C53">
      <w:pPr>
        <w:autoSpaceDE w:val="0"/>
        <w:autoSpaceDN w:val="0"/>
        <w:adjustRightInd w:val="0"/>
        <w:rPr>
          <w:rFonts w:eastAsia="Calibri"/>
        </w:rPr>
      </w:pPr>
      <w:r w:rsidRPr="00C76E08">
        <w:rPr>
          <w:rFonts w:eastAsia="Calibri"/>
        </w:rPr>
        <w:t>59</w:t>
      </w:r>
      <w:r w:rsidR="00F27C53" w:rsidRPr="00C76E08">
        <w:rPr>
          <w:rFonts w:eastAsia="Calibri"/>
        </w:rPr>
        <w:t>-Below</w:t>
      </w:r>
      <w:r w:rsidR="00F27C53" w:rsidRPr="00C76E08">
        <w:rPr>
          <w:rFonts w:eastAsia="Calibri"/>
        </w:rPr>
        <w:tab/>
        <w:t>F</w:t>
      </w:r>
    </w:p>
    <w:p w14:paraId="53128261" w14:textId="77777777" w:rsidR="00F27C53" w:rsidRPr="00C76E08" w:rsidRDefault="00F27C53" w:rsidP="00F27C53">
      <w:pPr>
        <w:autoSpaceDE w:val="0"/>
        <w:autoSpaceDN w:val="0"/>
        <w:adjustRightInd w:val="0"/>
      </w:pPr>
    </w:p>
    <w:p w14:paraId="375518E2" w14:textId="77777777" w:rsidR="00C76E08" w:rsidRPr="00897420" w:rsidRDefault="00C76E08" w:rsidP="00C76E0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6A875DC" w14:textId="77777777" w:rsidR="00C76E08" w:rsidRPr="00897420" w:rsidRDefault="00C76E08" w:rsidP="00C76E08"/>
    <w:p w14:paraId="17BE5802" w14:textId="77777777" w:rsidR="00C76E08" w:rsidRPr="00897420" w:rsidRDefault="00C76E08" w:rsidP="00C76E0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C430B75" w14:textId="77777777" w:rsidR="00C76E08" w:rsidRPr="00897420" w:rsidRDefault="00C76E08" w:rsidP="00C76E08"/>
    <w:p w14:paraId="331B7354" w14:textId="77777777" w:rsidR="00C76E08" w:rsidRPr="00897420" w:rsidRDefault="00C76E08" w:rsidP="00C76E0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F241FAD" w14:textId="77777777" w:rsidR="00C76E08" w:rsidRPr="00897420" w:rsidRDefault="00C76E08" w:rsidP="00C76E08"/>
    <w:p w14:paraId="67E01898" w14:textId="77777777" w:rsidR="00C76E08" w:rsidRPr="00897420" w:rsidRDefault="00C76E08" w:rsidP="00C76E0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B1C7CE0" w14:textId="77777777" w:rsidR="00C76E08" w:rsidRPr="00897420" w:rsidRDefault="00C76E08" w:rsidP="00C76E08"/>
    <w:p w14:paraId="2EEF684E" w14:textId="77777777" w:rsidR="00C76E08" w:rsidRPr="00897420" w:rsidRDefault="00C76E08" w:rsidP="00C76E08">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1814464" w14:textId="77777777" w:rsidR="00C76E08" w:rsidRPr="00897420" w:rsidRDefault="00C76E08" w:rsidP="00C76E08"/>
    <w:p w14:paraId="472971D1" w14:textId="77777777" w:rsidR="00C76E08" w:rsidRPr="00897420" w:rsidRDefault="00C76E08" w:rsidP="00C76E0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1C002F54" w14:textId="77777777" w:rsidR="00C76E08" w:rsidRPr="00897420" w:rsidRDefault="00C76E08" w:rsidP="00C76E08"/>
    <w:p w14:paraId="4E24592B" w14:textId="77777777" w:rsidR="00C76E08" w:rsidRPr="00897420" w:rsidRDefault="00C76E08" w:rsidP="00C76E0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37DB48A"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Never post profanity, racist, or sexist messages </w:t>
      </w:r>
    </w:p>
    <w:p w14:paraId="6883FDE1"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Be respectful of fellow students and instructors </w:t>
      </w:r>
    </w:p>
    <w:p w14:paraId="2AAF8239"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Never insult any person or their message content </w:t>
      </w:r>
    </w:p>
    <w:p w14:paraId="2A23843F"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Never plagiarize or publish intellectual property </w:t>
      </w:r>
    </w:p>
    <w:p w14:paraId="2F953FED"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Do not use text messaging abbreviations or slang </w:t>
      </w:r>
    </w:p>
    <w:p w14:paraId="0BC2352D" w14:textId="77777777" w:rsidR="00C76E08" w:rsidRPr="00897420" w:rsidRDefault="00C76E08" w:rsidP="00C76E08">
      <w:pPr>
        <w:numPr>
          <w:ilvl w:val="0"/>
          <w:numId w:val="23"/>
        </w:numPr>
        <w:shd w:val="clear" w:color="auto" w:fill="FFFFFF"/>
        <w:spacing w:before="100" w:beforeAutospacing="1" w:after="100" w:afterAutospacing="1"/>
      </w:pPr>
      <w:r w:rsidRPr="00897420">
        <w:rPr>
          <w:color w:val="2D3B45"/>
        </w:rPr>
        <w:t>Do not type in all CAPS (this is considered online yelling) </w:t>
      </w:r>
    </w:p>
    <w:p w14:paraId="347EBD2A" w14:textId="77777777" w:rsidR="00C76E08" w:rsidRPr="001072A4" w:rsidRDefault="00C76E08" w:rsidP="00C76E08"/>
    <w:p w14:paraId="3461D779" w14:textId="77777777" w:rsidR="00F4634F" w:rsidRPr="00C76E08" w:rsidRDefault="00F4634F" w:rsidP="00C76E08">
      <w:pPr>
        <w:autoSpaceDE w:val="0"/>
        <w:autoSpaceDN w:val="0"/>
        <w:adjustRightInd w:val="0"/>
      </w:pPr>
      <w:bookmarkStart w:id="0" w:name="_GoBack"/>
      <w:bookmarkEnd w:id="0"/>
    </w:p>
    <w:sectPr w:rsidR="00F4634F" w:rsidRPr="00C76E0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1413" w14:textId="77777777" w:rsidR="00CA2598" w:rsidRDefault="00CA2598" w:rsidP="00F52ACC">
      <w:r>
        <w:separator/>
      </w:r>
    </w:p>
  </w:endnote>
  <w:endnote w:type="continuationSeparator" w:id="0">
    <w:p w14:paraId="143B8CF4" w14:textId="77777777" w:rsidR="00CA2598" w:rsidRDefault="00CA259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0478" w14:textId="77777777" w:rsidR="00CA2598" w:rsidRDefault="00CA2598" w:rsidP="00F52ACC">
      <w:r>
        <w:separator/>
      </w:r>
    </w:p>
  </w:footnote>
  <w:footnote w:type="continuationSeparator" w:id="0">
    <w:p w14:paraId="220AE79E" w14:textId="77777777" w:rsidR="00CA2598" w:rsidRDefault="00CA259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946CF"/>
    <w:multiLevelType w:val="hybridMultilevel"/>
    <w:tmpl w:val="EBBC1E08"/>
    <w:lvl w:ilvl="0" w:tplc="F0EC3E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85ABA"/>
    <w:multiLevelType w:val="hybridMultilevel"/>
    <w:tmpl w:val="C2A6D3E2"/>
    <w:lvl w:ilvl="0" w:tplc="D7E03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5"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93291"/>
    <w:multiLevelType w:val="hybridMultilevel"/>
    <w:tmpl w:val="D9704A22"/>
    <w:lvl w:ilvl="0" w:tplc="BAFA8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8021DE"/>
    <w:multiLevelType w:val="hybridMultilevel"/>
    <w:tmpl w:val="B810D43E"/>
    <w:lvl w:ilvl="0" w:tplc="EE2EF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5818E6"/>
    <w:multiLevelType w:val="hybridMultilevel"/>
    <w:tmpl w:val="39E8D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3932717"/>
    <w:multiLevelType w:val="hybridMultilevel"/>
    <w:tmpl w:val="DB1204D2"/>
    <w:lvl w:ilvl="0" w:tplc="905C8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D3C6E"/>
    <w:multiLevelType w:val="hybridMultilevel"/>
    <w:tmpl w:val="92F06594"/>
    <w:lvl w:ilvl="0" w:tplc="C1CA16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8"/>
  </w:num>
  <w:num w:numId="5">
    <w:abstractNumId w:val="10"/>
  </w:num>
  <w:num w:numId="6">
    <w:abstractNumId w:val="22"/>
  </w:num>
  <w:num w:numId="7">
    <w:abstractNumId w:val="12"/>
  </w:num>
  <w:num w:numId="8">
    <w:abstractNumId w:val="1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5"/>
  </w:num>
  <w:num w:numId="13">
    <w:abstractNumId w:val="3"/>
  </w:num>
  <w:num w:numId="14">
    <w:abstractNumId w:val="14"/>
  </w:num>
  <w:num w:numId="15">
    <w:abstractNumId w:val="5"/>
  </w:num>
  <w:num w:numId="16">
    <w:abstractNumId w:val="20"/>
  </w:num>
  <w:num w:numId="17">
    <w:abstractNumId w:val="2"/>
  </w:num>
  <w:num w:numId="18">
    <w:abstractNumId w:val="17"/>
  </w:num>
  <w:num w:numId="19">
    <w:abstractNumId w:val="21"/>
  </w:num>
  <w:num w:numId="20">
    <w:abstractNumId w:val="13"/>
  </w:num>
  <w:num w:numId="21">
    <w:abstractNumId w:val="1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166522"/>
    <w:rsid w:val="00235FDF"/>
    <w:rsid w:val="00245620"/>
    <w:rsid w:val="0026401F"/>
    <w:rsid w:val="00294B47"/>
    <w:rsid w:val="00296855"/>
    <w:rsid w:val="002A47DA"/>
    <w:rsid w:val="002B1896"/>
    <w:rsid w:val="002C3219"/>
    <w:rsid w:val="002E0538"/>
    <w:rsid w:val="003064BE"/>
    <w:rsid w:val="00320C82"/>
    <w:rsid w:val="0032345B"/>
    <w:rsid w:val="003415C6"/>
    <w:rsid w:val="00354D96"/>
    <w:rsid w:val="0037283C"/>
    <w:rsid w:val="003A51CB"/>
    <w:rsid w:val="003A5636"/>
    <w:rsid w:val="003D626E"/>
    <w:rsid w:val="004229CB"/>
    <w:rsid w:val="00514E79"/>
    <w:rsid w:val="00544C0B"/>
    <w:rsid w:val="00587171"/>
    <w:rsid w:val="005A2DB0"/>
    <w:rsid w:val="005C6C8D"/>
    <w:rsid w:val="005D2D96"/>
    <w:rsid w:val="006342C9"/>
    <w:rsid w:val="006571AC"/>
    <w:rsid w:val="006835B9"/>
    <w:rsid w:val="006A4BFE"/>
    <w:rsid w:val="006B211F"/>
    <w:rsid w:val="006C6CCB"/>
    <w:rsid w:val="00704256"/>
    <w:rsid w:val="00710ED3"/>
    <w:rsid w:val="007550BB"/>
    <w:rsid w:val="007A7CB4"/>
    <w:rsid w:val="007B452A"/>
    <w:rsid w:val="007D1581"/>
    <w:rsid w:val="007E001E"/>
    <w:rsid w:val="00822E3D"/>
    <w:rsid w:val="0085664F"/>
    <w:rsid w:val="00861CB6"/>
    <w:rsid w:val="00885A8F"/>
    <w:rsid w:val="008A7EA5"/>
    <w:rsid w:val="008E3B4A"/>
    <w:rsid w:val="009130CF"/>
    <w:rsid w:val="00914403"/>
    <w:rsid w:val="00927540"/>
    <w:rsid w:val="00933CB6"/>
    <w:rsid w:val="00972574"/>
    <w:rsid w:val="00986A24"/>
    <w:rsid w:val="009B7F77"/>
    <w:rsid w:val="009C11E5"/>
    <w:rsid w:val="009F213B"/>
    <w:rsid w:val="00A126C1"/>
    <w:rsid w:val="00A47E31"/>
    <w:rsid w:val="00A56A4C"/>
    <w:rsid w:val="00A75042"/>
    <w:rsid w:val="00AC5280"/>
    <w:rsid w:val="00AD734D"/>
    <w:rsid w:val="00AF0EC8"/>
    <w:rsid w:val="00B4469F"/>
    <w:rsid w:val="00B91E8D"/>
    <w:rsid w:val="00B9243F"/>
    <w:rsid w:val="00BD1F52"/>
    <w:rsid w:val="00BF5892"/>
    <w:rsid w:val="00C140EA"/>
    <w:rsid w:val="00C4544A"/>
    <w:rsid w:val="00C652C2"/>
    <w:rsid w:val="00C76E08"/>
    <w:rsid w:val="00CA1A52"/>
    <w:rsid w:val="00CA2598"/>
    <w:rsid w:val="00CC7F37"/>
    <w:rsid w:val="00CE526B"/>
    <w:rsid w:val="00CF7D5D"/>
    <w:rsid w:val="00D05433"/>
    <w:rsid w:val="00D10DD2"/>
    <w:rsid w:val="00D1677D"/>
    <w:rsid w:val="00D3204C"/>
    <w:rsid w:val="00D52068"/>
    <w:rsid w:val="00D7703F"/>
    <w:rsid w:val="00DA59BF"/>
    <w:rsid w:val="00E00EF3"/>
    <w:rsid w:val="00E352FE"/>
    <w:rsid w:val="00E95D68"/>
    <w:rsid w:val="00EA25BA"/>
    <w:rsid w:val="00EA5BD3"/>
    <w:rsid w:val="00EB58F7"/>
    <w:rsid w:val="00F20835"/>
    <w:rsid w:val="00F27C53"/>
    <w:rsid w:val="00F4634F"/>
    <w:rsid w:val="00F50088"/>
    <w:rsid w:val="00F52ACC"/>
    <w:rsid w:val="00FE2E6F"/>
    <w:rsid w:val="00FF223E"/>
    <w:rsid w:val="55D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39F14"/>
  <w15:docId w15:val="{A30CF7B6-CCBA-4AFF-825E-33B5D5F8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C76E0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99547311">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Company>LTC</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2019-10-31T20:26:00Z</dcterms:created>
  <dcterms:modified xsi:type="dcterms:W3CDTF">2020-08-11T03:06:00Z</dcterms:modified>
</cp:coreProperties>
</file>