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07D74" w:rsidRPr="00416D2F" w:rsidRDefault="00416D2F" w:rsidP="00C07D74">
      <w:pPr>
        <w:jc w:val="center"/>
        <w:rPr>
          <w:b/>
          <w:bCs/>
        </w:rPr>
      </w:pPr>
      <w:r w:rsidRPr="00416D2F">
        <w:rPr>
          <w:b/>
          <w:bCs/>
        </w:rPr>
        <w:t>Master Syllabus</w:t>
      </w:r>
    </w:p>
    <w:p w:rsidR="00416D2F" w:rsidRDefault="00416D2F" w:rsidP="00C07D74">
      <w:pPr>
        <w:jc w:val="center"/>
        <w:rPr>
          <w:b/>
          <w:bCs/>
          <w:color w:val="FF0000"/>
        </w:rPr>
      </w:pPr>
    </w:p>
    <w:p w:rsidR="006A4BFE" w:rsidRPr="00897420" w:rsidRDefault="005D2D96">
      <w:pPr>
        <w:rPr>
          <w:b/>
          <w:bCs/>
          <w:caps/>
        </w:rPr>
      </w:pPr>
      <w:r w:rsidRPr="00897420">
        <w:rPr>
          <w:b/>
          <w:bCs/>
        </w:rPr>
        <w:t>COURSE</w:t>
      </w:r>
      <w:r w:rsidR="00076E31" w:rsidRPr="00897420">
        <w:rPr>
          <w:b/>
          <w:bCs/>
        </w:rPr>
        <w:t xml:space="preserve">:  </w:t>
      </w:r>
      <w:r w:rsidR="002A3A6E" w:rsidRPr="002A3A6E">
        <w:rPr>
          <w:b/>
          <w:bCs/>
        </w:rPr>
        <w:t xml:space="preserve">HPHM 1405 Fundamentals of PHARMACY TECHNICIAN MATH            </w:t>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2A3A6E" w:rsidRPr="002A3A6E">
        <w:rPr>
          <w:bCs/>
        </w:rPr>
        <w:t>2/0/2</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2A3A6E" w:rsidRPr="002A3A6E">
        <w:rPr>
          <w:bCs/>
        </w:rPr>
        <w:t>60/0/60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Default="005D2D96" w:rsidP="00A174AA">
      <w:pPr>
        <w:widowControl w:val="0"/>
        <w:snapToGrid w:val="0"/>
      </w:pPr>
      <w:r w:rsidRPr="00897420">
        <w:rPr>
          <w:b/>
        </w:rPr>
        <w:t>COURSE DESCRIPTION</w:t>
      </w:r>
      <w:r w:rsidR="00F52ACC" w:rsidRPr="00897420">
        <w:rPr>
          <w:b/>
        </w:rPr>
        <w:t>:</w:t>
      </w:r>
      <w:r w:rsidR="006A4BFE" w:rsidRPr="00897420">
        <w:t xml:space="preserve"> </w:t>
      </w:r>
      <w:r w:rsidR="002A47DA" w:rsidRPr="00897420">
        <w:t xml:space="preserve"> </w:t>
      </w:r>
      <w:r w:rsidR="002A3A6E" w:rsidRPr="002A3A6E">
        <w:t>This course is a review of basic mathematics as well as use of systems of measurements, dosage calculations, concentrations and dilutions involving pharmaceutical calculations. This course teaches the pharmacy technician student the essential pharmacy calculations that are performed in a pharmacy setting. The primary objective is to develop problem solving skills, including how to use information from written prescriptions, hospital medication orders, and drug product labels emphasizing pharmacy calculations that are used on a daily basis in retail and institutional pharmacies. Business terms and business math skills essential to pharmacy practice including inventory and purchasing, profit margins, and inventory control are also covered in this course.</w:t>
      </w:r>
    </w:p>
    <w:p w:rsidR="00A174AA" w:rsidRPr="00897420" w:rsidRDefault="00A174AA" w:rsidP="00A174AA">
      <w:pPr>
        <w:widowControl w:val="0"/>
        <w:snapToGrid w:val="0"/>
        <w:rPr>
          <w:b/>
        </w:rPr>
      </w:pPr>
    </w:p>
    <w:p w:rsidR="00F52ACC" w:rsidRPr="002A3A6E" w:rsidRDefault="005D2D96" w:rsidP="002A3A6E">
      <w:pPr>
        <w:rPr>
          <w:bCs/>
        </w:rPr>
      </w:pPr>
      <w:r w:rsidRPr="00897420">
        <w:rPr>
          <w:b/>
          <w:bCs/>
        </w:rPr>
        <w:t>PREREQUISITES</w:t>
      </w:r>
      <w:r w:rsidR="00F52ACC" w:rsidRPr="00897420">
        <w:rPr>
          <w:b/>
          <w:bCs/>
        </w:rPr>
        <w:t>:</w:t>
      </w:r>
      <w:r w:rsidR="00EB58F7" w:rsidRPr="00897420">
        <w:rPr>
          <w:b/>
          <w:bCs/>
        </w:rPr>
        <w:t xml:space="preserve">  </w:t>
      </w:r>
      <w:r w:rsidR="002A3A6E" w:rsidRPr="002A3A6E">
        <w:rPr>
          <w:bCs/>
        </w:rPr>
        <w:t>MATH 1160 or ACT Math 17+;</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416D2F" w:rsidRDefault="00416D2F" w:rsidP="00416D2F"/>
    <w:p w:rsidR="002A3A6E" w:rsidRDefault="002A3A6E" w:rsidP="002A3A6E">
      <w:r>
        <w:t>Upon successful completion of this course, with a minimum of 70% accuracy, the student will be able to:</w:t>
      </w:r>
    </w:p>
    <w:p w:rsidR="002A3A6E" w:rsidRDefault="002A3A6E" w:rsidP="002A3A6E">
      <w:pPr>
        <w:pStyle w:val="ListParagraph"/>
        <w:ind w:left="1080"/>
      </w:pPr>
    </w:p>
    <w:p w:rsidR="002A3A6E" w:rsidRDefault="002A3A6E" w:rsidP="002A3A6E">
      <w:pPr>
        <w:pStyle w:val="ListParagraph"/>
        <w:numPr>
          <w:ilvl w:val="0"/>
          <w:numId w:val="14"/>
        </w:numPr>
      </w:pPr>
      <w:r>
        <w:t xml:space="preserve">Describe subdivisions of numbers, number systems, estimating, and accuracy. </w:t>
      </w:r>
    </w:p>
    <w:p w:rsidR="002A3A6E" w:rsidRDefault="002A3A6E" w:rsidP="002A3A6E">
      <w:pPr>
        <w:pStyle w:val="ListParagraph"/>
        <w:numPr>
          <w:ilvl w:val="0"/>
          <w:numId w:val="14"/>
        </w:numPr>
      </w:pPr>
      <w:r>
        <w:t>Demonstrate the relationship between units of measurement, and use their correct abbreviations.</w:t>
      </w:r>
    </w:p>
    <w:p w:rsidR="002A3A6E" w:rsidRDefault="002A3A6E" w:rsidP="002A3A6E">
      <w:pPr>
        <w:pStyle w:val="ListParagraph"/>
        <w:numPr>
          <w:ilvl w:val="0"/>
          <w:numId w:val="14"/>
        </w:numPr>
      </w:pPr>
      <w:r>
        <w:t xml:space="preserve">Describe the use of ratios, percent’s, and proportions in pharmacy practice. </w:t>
      </w:r>
    </w:p>
    <w:p w:rsidR="002A3A6E" w:rsidRDefault="002A3A6E" w:rsidP="002A3A6E">
      <w:pPr>
        <w:pStyle w:val="ListParagraph"/>
        <w:numPr>
          <w:ilvl w:val="0"/>
          <w:numId w:val="14"/>
        </w:numPr>
      </w:pPr>
      <w:r>
        <w:t xml:space="preserve">Use the ratio-proportion and dimensional analysis methods in performing pharmacy calculations. </w:t>
      </w:r>
    </w:p>
    <w:p w:rsidR="002A3A6E" w:rsidRDefault="002A3A6E" w:rsidP="002A3A6E">
      <w:pPr>
        <w:pStyle w:val="ListParagraph"/>
        <w:numPr>
          <w:ilvl w:val="0"/>
          <w:numId w:val="14"/>
        </w:numPr>
      </w:pPr>
      <w:r>
        <w:t xml:space="preserve">Calculate doses related to the administration of medication using various systems of measurement. </w:t>
      </w:r>
    </w:p>
    <w:p w:rsidR="002A3A6E" w:rsidRDefault="002A3A6E" w:rsidP="002A3A6E">
      <w:pPr>
        <w:pStyle w:val="ListParagraph"/>
        <w:numPr>
          <w:ilvl w:val="0"/>
          <w:numId w:val="14"/>
        </w:numPr>
      </w:pPr>
      <w:r>
        <w:t xml:space="preserve">Accurately read drug labels for amount of active ingredient contained in a measured amount of medication, and calculate the amount of medication to dispense for a specific dose. </w:t>
      </w:r>
    </w:p>
    <w:p w:rsidR="002A3A6E" w:rsidRDefault="002A3A6E" w:rsidP="002A3A6E">
      <w:pPr>
        <w:pStyle w:val="ListParagraph"/>
        <w:numPr>
          <w:ilvl w:val="0"/>
          <w:numId w:val="14"/>
        </w:numPr>
      </w:pPr>
      <w:r>
        <w:t xml:space="preserve">Calculate the quantity of active ingredient in a percentage solution and solid mixture. </w:t>
      </w:r>
    </w:p>
    <w:p w:rsidR="002A3A6E" w:rsidRDefault="002A3A6E" w:rsidP="002A3A6E">
      <w:pPr>
        <w:pStyle w:val="ListParagraph"/>
        <w:numPr>
          <w:ilvl w:val="0"/>
          <w:numId w:val="14"/>
        </w:numPr>
      </w:pPr>
      <w:r>
        <w:t>Calculate the amount of concentrate and diluent needed for a stock dilution compound.</w:t>
      </w:r>
    </w:p>
    <w:p w:rsidR="002A3A6E" w:rsidRDefault="002A3A6E" w:rsidP="002A3A6E">
      <w:pPr>
        <w:pStyle w:val="ListParagraph"/>
        <w:numPr>
          <w:ilvl w:val="0"/>
          <w:numId w:val="14"/>
        </w:numPr>
      </w:pPr>
      <w:r>
        <w:t xml:space="preserve">Calculate age- and weight-specific drug doses or dose range when given recommended dose information. </w:t>
      </w:r>
    </w:p>
    <w:p w:rsidR="002A3A6E" w:rsidRDefault="002A3A6E" w:rsidP="002A3A6E">
      <w:pPr>
        <w:pStyle w:val="ListParagraph"/>
        <w:numPr>
          <w:ilvl w:val="0"/>
          <w:numId w:val="14"/>
        </w:numPr>
      </w:pPr>
      <w:r>
        <w:t xml:space="preserve">Determine body surface area (BSA) using both a nomogram and the </w:t>
      </w:r>
      <w:proofErr w:type="spellStart"/>
      <w:r>
        <w:t>Mosteller</w:t>
      </w:r>
      <w:proofErr w:type="spellEnd"/>
      <w:r>
        <w:t xml:space="preserve"> equation. </w:t>
      </w:r>
    </w:p>
    <w:p w:rsidR="002A3A6E" w:rsidRDefault="002A3A6E" w:rsidP="002A3A6E">
      <w:pPr>
        <w:pStyle w:val="ListParagraph"/>
        <w:numPr>
          <w:ilvl w:val="0"/>
          <w:numId w:val="14"/>
        </w:numPr>
      </w:pPr>
      <w:r>
        <w:lastRenderedPageBreak/>
        <w:t xml:space="preserve">Calculate a patient-specific dose of medication using BSA. </w:t>
      </w:r>
    </w:p>
    <w:p w:rsidR="002A3A6E" w:rsidRDefault="002A3A6E" w:rsidP="002A3A6E">
      <w:pPr>
        <w:pStyle w:val="ListParagraph"/>
        <w:numPr>
          <w:ilvl w:val="0"/>
          <w:numId w:val="14"/>
        </w:numPr>
      </w:pPr>
      <w:r>
        <w:t xml:space="preserve">Describe the types of intravenous (IV) sets. </w:t>
      </w:r>
    </w:p>
    <w:p w:rsidR="002A3A6E" w:rsidRDefault="002A3A6E" w:rsidP="002A3A6E">
      <w:pPr>
        <w:pStyle w:val="ListParagraph"/>
        <w:numPr>
          <w:ilvl w:val="0"/>
          <w:numId w:val="14"/>
        </w:numPr>
      </w:pPr>
      <w:r>
        <w:t xml:space="preserve">Calculate IV drip rates and flow rates. </w:t>
      </w:r>
    </w:p>
    <w:p w:rsidR="002A3A6E" w:rsidRDefault="002A3A6E" w:rsidP="002A3A6E">
      <w:pPr>
        <w:pStyle w:val="ListParagraph"/>
        <w:numPr>
          <w:ilvl w:val="0"/>
          <w:numId w:val="14"/>
        </w:numPr>
      </w:pPr>
      <w:r>
        <w:t xml:space="preserve">Calculate the amounts of ingredients needed to enlarge or reduce a formula. </w:t>
      </w:r>
    </w:p>
    <w:p w:rsidR="002A3A6E" w:rsidRDefault="002A3A6E" w:rsidP="002A3A6E">
      <w:pPr>
        <w:pStyle w:val="ListParagraph"/>
        <w:numPr>
          <w:ilvl w:val="0"/>
          <w:numId w:val="14"/>
        </w:numPr>
      </w:pPr>
      <w:r>
        <w:t xml:space="preserve">Use the </w:t>
      </w:r>
      <w:proofErr w:type="spellStart"/>
      <w:r>
        <w:t>alligation</w:t>
      </w:r>
      <w:proofErr w:type="spellEnd"/>
      <w:r>
        <w:t xml:space="preserve"> method to calculate the amount of two strengths of active ingredient needed to prepare a product whose concentration lies between the two extremes. </w:t>
      </w:r>
    </w:p>
    <w:p w:rsidR="002A3A6E" w:rsidRDefault="002A3A6E" w:rsidP="002A3A6E">
      <w:pPr>
        <w:pStyle w:val="ListParagraph"/>
        <w:numPr>
          <w:ilvl w:val="0"/>
          <w:numId w:val="14"/>
        </w:numPr>
      </w:pPr>
      <w:r>
        <w:t xml:space="preserve">Determine the amount of two ingredients using the weight-in-weight (w/w) formula. </w:t>
      </w:r>
    </w:p>
    <w:p w:rsidR="002A3A6E" w:rsidRDefault="002A3A6E" w:rsidP="002A3A6E">
      <w:pPr>
        <w:pStyle w:val="ListParagraph"/>
        <w:numPr>
          <w:ilvl w:val="0"/>
          <w:numId w:val="14"/>
        </w:numPr>
      </w:pPr>
      <w:r>
        <w:t xml:space="preserve">Calculate the least weighable quantity when given the specifications of the measuring device being used. </w:t>
      </w:r>
    </w:p>
    <w:p w:rsidR="002A3A6E" w:rsidRDefault="002A3A6E" w:rsidP="002A3A6E">
      <w:pPr>
        <w:pStyle w:val="ListParagraph"/>
        <w:numPr>
          <w:ilvl w:val="0"/>
          <w:numId w:val="14"/>
        </w:numPr>
      </w:pPr>
      <w:r>
        <w:t xml:space="preserve">Describe how to prepare a special dilution. </w:t>
      </w:r>
    </w:p>
    <w:p w:rsidR="002A3A6E" w:rsidRDefault="002A3A6E" w:rsidP="002A3A6E">
      <w:pPr>
        <w:pStyle w:val="ListParagraph"/>
        <w:numPr>
          <w:ilvl w:val="0"/>
          <w:numId w:val="14"/>
        </w:numPr>
      </w:pPr>
      <w:r>
        <w:t xml:space="preserve">Calculate business application needs such as percent markup, percent profit, overhead, profit, gross profit, percentage of average wholesale price (AWP), capitation, days’ supply of inventory, and inventory maintenance ordering with minimums and maximums. </w:t>
      </w:r>
    </w:p>
    <w:p w:rsidR="00BF5892" w:rsidRPr="00897420" w:rsidRDefault="00BF5892" w:rsidP="00BF5892">
      <w:pPr>
        <w:rPr>
          <w:b/>
        </w:rPr>
      </w:pPr>
    </w:p>
    <w:p w:rsidR="00416D2F" w:rsidRDefault="005D2D96" w:rsidP="00BF5892">
      <w:r w:rsidRPr="00897420">
        <w:rPr>
          <w:b/>
        </w:rPr>
        <w:t>ASSESSMENT MEASURES</w:t>
      </w:r>
      <w:r w:rsidR="002A47DA" w:rsidRPr="00897420">
        <w:rPr>
          <w:b/>
        </w:rPr>
        <w:t xml:space="preserve">:  </w:t>
      </w:r>
      <w:r w:rsidR="002A3A6E" w:rsidRPr="002A3A6E">
        <w:t>Student assessments will be based upon total points earned on examinations, quizzes, &amp; other related written assignments.</w:t>
      </w:r>
    </w:p>
    <w:p w:rsidR="00A174AA" w:rsidRDefault="00A174AA" w:rsidP="00A174AA">
      <w:pPr>
        <w:shd w:val="clear" w:color="auto" w:fill="FFFFFF"/>
        <w:spacing w:before="90" w:after="150"/>
        <w:outlineLvl w:val="1"/>
        <w:rPr>
          <w:rFonts w:ascii="Helvetica" w:hAnsi="Helvetica" w:cs="Helvetica"/>
          <w:b/>
          <w:bCs/>
          <w:color w:val="2D3B45"/>
        </w:rPr>
      </w:pPr>
    </w:p>
    <w:p w:rsidR="00A174AA" w:rsidRPr="001B2660" w:rsidRDefault="00A174AA" w:rsidP="00A174AA">
      <w:pPr>
        <w:shd w:val="clear" w:color="auto" w:fill="FFFFFF"/>
        <w:spacing w:before="90" w:after="150"/>
        <w:outlineLvl w:val="1"/>
        <w:rPr>
          <w:rFonts w:ascii="Verdana" w:hAnsi="Verdana" w:cs="Helvetica"/>
          <w:b/>
          <w:color w:val="2D3B45"/>
          <w:sz w:val="20"/>
          <w:szCs w:val="38"/>
        </w:rPr>
      </w:pPr>
      <w:r w:rsidRPr="001B2660">
        <w:rPr>
          <w:rFonts w:ascii="Verdana" w:hAnsi="Verdana" w:cs="Helvetica"/>
          <w:b/>
          <w:color w:val="2D3B45"/>
          <w:sz w:val="20"/>
          <w:szCs w:val="38"/>
        </w:rPr>
        <w:t>Assignments are weighted by group:</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654"/>
        <w:gridCol w:w="880"/>
      </w:tblGrid>
      <w:tr w:rsidR="002A3A6E" w:rsidRPr="005A26EE" w:rsidTr="00FD4714">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Weight</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Attendance/Participation</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5.0%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Homework/Assignments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10.0%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Practice Tests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10.0%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Chapter Assessments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15.0%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Special Projects</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5.0%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Midterm Exam</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25.0%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Final Exam</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30.0%</w:t>
            </w:r>
          </w:p>
        </w:tc>
      </w:tr>
      <w:tr w:rsidR="002A3A6E" w:rsidRPr="005A26EE" w:rsidTr="00FD4714">
        <w:tc>
          <w:tcPr>
            <w:tcW w:w="0" w:type="auto"/>
            <w:tcBorders>
              <w:bottom w:val="single" w:sz="6" w:space="0" w:color="C7CDD1"/>
            </w:tcBorders>
            <w:shd w:val="clear" w:color="auto" w:fill="FFFFFF"/>
            <w:tcMar>
              <w:top w:w="90" w:type="dxa"/>
              <w:left w:w="90" w:type="dxa"/>
              <w:bottom w:w="90" w:type="dxa"/>
              <w:right w:w="90" w:type="dxa"/>
            </w:tcMar>
            <w:vAlign w:val="center"/>
            <w:hideMark/>
          </w:tcPr>
          <w:p w:rsidR="002A3A6E" w:rsidRPr="005A26EE" w:rsidRDefault="002A3A6E" w:rsidP="00FD4714">
            <w:pPr>
              <w:rPr>
                <w:rFonts w:ascii="Helvetica" w:hAnsi="Helvetica" w:cs="Helvetica"/>
                <w:b/>
                <w:bCs/>
                <w:color w:val="2D3B45"/>
                <w:sz w:val="21"/>
                <w:szCs w:val="21"/>
              </w:rPr>
            </w:pPr>
            <w:r w:rsidRPr="005A26EE">
              <w:rPr>
                <w:rFonts w:ascii="Helvetica" w:hAnsi="Helvetica" w:cs="Helvetica"/>
                <w:b/>
                <w:bCs/>
                <w:color w:val="2D3B45"/>
                <w:sz w:val="21"/>
                <w:szCs w:val="21"/>
              </w:rPr>
              <w:t>Total</w:t>
            </w:r>
          </w:p>
        </w:tc>
        <w:tc>
          <w:tcPr>
            <w:tcW w:w="0" w:type="auto"/>
            <w:tcBorders>
              <w:bottom w:val="single" w:sz="6" w:space="0" w:color="C7CDD1"/>
            </w:tcBorders>
            <w:shd w:val="clear" w:color="auto" w:fill="FFFFFF"/>
            <w:tcMar>
              <w:top w:w="30" w:type="dxa"/>
              <w:left w:w="30" w:type="dxa"/>
              <w:bottom w:w="30" w:type="dxa"/>
              <w:right w:w="30" w:type="dxa"/>
            </w:tcMar>
            <w:vAlign w:val="center"/>
            <w:hideMark/>
          </w:tcPr>
          <w:p w:rsidR="002A3A6E" w:rsidRPr="005A26EE" w:rsidRDefault="002A3A6E" w:rsidP="00FD4714">
            <w:pPr>
              <w:rPr>
                <w:rFonts w:ascii="Helvetica" w:hAnsi="Helvetica" w:cs="Helvetica"/>
                <w:color w:val="2D3B45"/>
                <w:sz w:val="21"/>
                <w:szCs w:val="21"/>
              </w:rPr>
            </w:pPr>
            <w:r w:rsidRPr="005A26EE">
              <w:rPr>
                <w:rFonts w:ascii="Helvetica" w:hAnsi="Helvetica" w:cs="Helvetica"/>
                <w:color w:val="2D3B45"/>
                <w:sz w:val="21"/>
                <w:szCs w:val="21"/>
              </w:rPr>
              <w:t>100%</w:t>
            </w:r>
          </w:p>
        </w:tc>
      </w:tr>
    </w:tbl>
    <w:p w:rsidR="002C3219" w:rsidRPr="00897420" w:rsidRDefault="002C3219" w:rsidP="002A47DA">
      <w:pPr>
        <w:pStyle w:val="Heading2"/>
        <w:ind w:left="0"/>
      </w:pPr>
    </w:p>
    <w:p w:rsidR="00416D2F" w:rsidRDefault="005D2D96" w:rsidP="002A3A6E">
      <w:pPr>
        <w:pStyle w:val="Heading2"/>
        <w:ind w:hanging="5040"/>
        <w:rPr>
          <w:b w:val="0"/>
        </w:rPr>
      </w:pPr>
      <w:r w:rsidRPr="00897420">
        <w:t>TEXTBOOK/S</w:t>
      </w:r>
      <w:r w:rsidR="006A4BFE" w:rsidRPr="00897420">
        <w:t xml:space="preserve">: </w:t>
      </w:r>
      <w:r w:rsidR="00EB58F7" w:rsidRPr="00897420">
        <w:t xml:space="preserve"> </w:t>
      </w:r>
      <w:r w:rsidR="002A3A6E" w:rsidRPr="002A3A6E">
        <w:rPr>
          <w:b w:val="0"/>
        </w:rPr>
        <w:t>Pharmacy Calculations for Technicians. 6th edition, Paradigm Educations Solutions</w:t>
      </w:r>
    </w:p>
    <w:p w:rsidR="002A3A6E" w:rsidRPr="002A3A6E" w:rsidRDefault="002A3A6E" w:rsidP="002A3A6E"/>
    <w:p w:rsidR="006A4BFE" w:rsidRPr="00A174AA" w:rsidRDefault="005D2D96" w:rsidP="00A174AA">
      <w:r w:rsidRPr="00897420">
        <w:rPr>
          <w:b/>
        </w:rPr>
        <w:t>SUPPLIES AND EQUIPMENT</w:t>
      </w:r>
      <w:r w:rsidR="002A47DA" w:rsidRPr="00897420">
        <w:rPr>
          <w:b/>
        </w:rPr>
        <w:t xml:space="preserve">: </w:t>
      </w:r>
      <w:r w:rsidR="002A3A6E" w:rsidRPr="002A3A6E">
        <w:t xml:space="preserve">Pencil, Paper, Calculator, Computer. Students will need to have computer access with an up-to-date browser, and some additional software to take this class. Additional software will include Microsoft Word, PowerPoint, Adobe Acrobat Reader and </w:t>
      </w:r>
      <w:proofErr w:type="spellStart"/>
      <w:r w:rsidR="002A3A6E" w:rsidRPr="002A3A6E">
        <w:t>Respondus</w:t>
      </w:r>
      <w:proofErr w:type="spellEnd"/>
      <w:r w:rsidR="002A3A6E" w:rsidRPr="002A3A6E">
        <w:t xml:space="preserve"> Lockdown.  the ability to connect to the Internet and Canvas is a must</w:t>
      </w:r>
      <w:r w:rsidR="002A3A6E">
        <w:t>.</w:t>
      </w:r>
      <w:bookmarkStart w:id="0" w:name="_GoBack"/>
      <w:bookmarkEnd w:id="0"/>
    </w:p>
    <w:p w:rsidR="00A174AA" w:rsidRDefault="00A174AA" w:rsidP="00897420">
      <w:pPr>
        <w:pStyle w:val="NormalWeb"/>
        <w:shd w:val="clear" w:color="auto" w:fill="FFFFFF"/>
        <w:rPr>
          <w:rFonts w:ascii="Times New Roman" w:hAnsi="Times New Roman" w:cs="Times New Roman"/>
          <w:b/>
          <w:bCs/>
          <w:sz w:val="24"/>
          <w:szCs w:val="24"/>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lastRenderedPageBreak/>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Pr="00416D2F" w:rsidRDefault="005D2D96" w:rsidP="00416D2F">
      <w:pPr>
        <w:pStyle w:val="Heading2"/>
        <w:ind w:left="0"/>
      </w:pPr>
      <w:r w:rsidRPr="00897420">
        <w:t>GRADING REQUIREMENTS</w:t>
      </w:r>
      <w:r w:rsidR="002A47DA" w:rsidRPr="00897420">
        <w:t xml:space="preserve">:  </w:t>
      </w:r>
    </w:p>
    <w:p w:rsidR="00F8686A" w:rsidRPr="00897420" w:rsidRDefault="00F8686A" w:rsidP="00F8686A">
      <w:pPr>
        <w:spacing w:before="100" w:beforeAutospacing="1" w:after="100" w:afterAutospacing="1"/>
      </w:pPr>
      <w:r w:rsidRPr="00897420">
        <w:rPr>
          <w:b/>
          <w:bCs/>
        </w:rPr>
        <w:t>GRADING SCALE:</w:t>
      </w:r>
    </w:p>
    <w:p w:rsidR="00F8686A" w:rsidRPr="00897420" w:rsidRDefault="00F8686A" w:rsidP="00562650">
      <w:pPr>
        <w:pStyle w:val="NoSpacing"/>
      </w:pPr>
      <w:r w:rsidRPr="00897420">
        <w:t>100-90             A</w:t>
      </w:r>
    </w:p>
    <w:p w:rsidR="00F8686A" w:rsidRPr="00897420" w:rsidRDefault="00F8686A" w:rsidP="00562650">
      <w:pPr>
        <w:pStyle w:val="NoSpacing"/>
      </w:pPr>
      <w:r w:rsidRPr="00897420">
        <w:t>89-80               B</w:t>
      </w:r>
    </w:p>
    <w:p w:rsidR="00F8686A" w:rsidRPr="00897420" w:rsidRDefault="00F8686A" w:rsidP="00562650">
      <w:pPr>
        <w:pStyle w:val="NoSpacing"/>
      </w:pPr>
      <w:r w:rsidRPr="00897420">
        <w:t>79-70               C</w:t>
      </w:r>
    </w:p>
    <w:p w:rsidR="00F8686A" w:rsidRPr="00897420" w:rsidRDefault="00F8686A" w:rsidP="00562650">
      <w:pPr>
        <w:pStyle w:val="NoSpacing"/>
      </w:pPr>
      <w:r w:rsidRPr="00897420">
        <w:t>69-60               D</w:t>
      </w:r>
    </w:p>
    <w:p w:rsidR="00294B47" w:rsidRPr="00897420" w:rsidRDefault="00F8686A" w:rsidP="00416D2F">
      <w:pPr>
        <w:pStyle w:val="NoSpacing"/>
      </w:pPr>
      <w:r w:rsidRPr="00897420">
        <w:t>59-0                 F</w:t>
      </w:r>
    </w:p>
    <w:p w:rsidR="00AE3210" w:rsidRDefault="00AE3210" w:rsidP="00294B47">
      <w:pPr>
        <w:autoSpaceDE w:val="0"/>
        <w:autoSpaceDN w:val="0"/>
        <w:adjustRightInd w:val="0"/>
        <w:rPr>
          <w:b/>
        </w:rPr>
      </w:pP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w:t>
      </w:r>
      <w:r w:rsidR="001072A4" w:rsidRPr="00897420">
        <w:lastRenderedPageBreak/>
        <w:t xml:space="preserve">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9A" w:rsidRDefault="0044599A" w:rsidP="00F52ACC">
      <w:r>
        <w:separator/>
      </w:r>
    </w:p>
  </w:endnote>
  <w:endnote w:type="continuationSeparator" w:id="0">
    <w:p w:rsidR="0044599A" w:rsidRDefault="0044599A"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9A" w:rsidRDefault="0044599A" w:rsidP="00F52ACC">
      <w:r>
        <w:separator/>
      </w:r>
    </w:p>
  </w:footnote>
  <w:footnote w:type="continuationSeparator" w:id="0">
    <w:p w:rsidR="0044599A" w:rsidRDefault="0044599A"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ABD"/>
    <w:multiLevelType w:val="hybridMultilevel"/>
    <w:tmpl w:val="B52E40BE"/>
    <w:lvl w:ilvl="0" w:tplc="B79C5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90014"/>
    <w:multiLevelType w:val="hybridMultilevel"/>
    <w:tmpl w:val="7CB473E2"/>
    <w:lvl w:ilvl="0" w:tplc="B79C5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5476A82"/>
    <w:multiLevelType w:val="hybridMultilevel"/>
    <w:tmpl w:val="9CF03790"/>
    <w:lvl w:ilvl="0" w:tplc="B79C5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66F8C"/>
    <w:multiLevelType w:val="hybridMultilevel"/>
    <w:tmpl w:val="43E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3"/>
  </w:num>
  <w:num w:numId="7">
    <w:abstractNumId w:val="9"/>
  </w:num>
  <w:num w:numId="8">
    <w:abstractNumId w:val="7"/>
  </w:num>
  <w:num w:numId="9">
    <w:abstractNumId w:val="3"/>
  </w:num>
  <w:num w:numId="10">
    <w:abstractNumId w:val="4"/>
  </w:num>
  <w:num w:numId="11">
    <w:abstractNumId w:val="12"/>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D4CB3"/>
    <w:rsid w:val="00235FDF"/>
    <w:rsid w:val="0026401F"/>
    <w:rsid w:val="00294B47"/>
    <w:rsid w:val="00296855"/>
    <w:rsid w:val="002A3A6E"/>
    <w:rsid w:val="002A47DA"/>
    <w:rsid w:val="002B1896"/>
    <w:rsid w:val="002C3219"/>
    <w:rsid w:val="002D72F1"/>
    <w:rsid w:val="002E0538"/>
    <w:rsid w:val="003064BE"/>
    <w:rsid w:val="00320C82"/>
    <w:rsid w:val="003415C6"/>
    <w:rsid w:val="00354D96"/>
    <w:rsid w:val="0037283C"/>
    <w:rsid w:val="003A51CB"/>
    <w:rsid w:val="003A5636"/>
    <w:rsid w:val="003B2619"/>
    <w:rsid w:val="003C13E6"/>
    <w:rsid w:val="003C1559"/>
    <w:rsid w:val="00416D2F"/>
    <w:rsid w:val="004229CB"/>
    <w:rsid w:val="0044599A"/>
    <w:rsid w:val="004A1F7B"/>
    <w:rsid w:val="004A68D5"/>
    <w:rsid w:val="004E0D89"/>
    <w:rsid w:val="00544C0B"/>
    <w:rsid w:val="00562650"/>
    <w:rsid w:val="005A2DB0"/>
    <w:rsid w:val="005C6C8D"/>
    <w:rsid w:val="005D2D96"/>
    <w:rsid w:val="006342C9"/>
    <w:rsid w:val="006835B9"/>
    <w:rsid w:val="0068505B"/>
    <w:rsid w:val="006A4BFE"/>
    <w:rsid w:val="006B211F"/>
    <w:rsid w:val="006C1DBF"/>
    <w:rsid w:val="00710ED3"/>
    <w:rsid w:val="007E001E"/>
    <w:rsid w:val="00822E3D"/>
    <w:rsid w:val="0085664F"/>
    <w:rsid w:val="00861CB6"/>
    <w:rsid w:val="00885A8F"/>
    <w:rsid w:val="00897420"/>
    <w:rsid w:val="008A7EA5"/>
    <w:rsid w:val="008E3B4A"/>
    <w:rsid w:val="009130CF"/>
    <w:rsid w:val="00914403"/>
    <w:rsid w:val="00927540"/>
    <w:rsid w:val="00933CB6"/>
    <w:rsid w:val="00972574"/>
    <w:rsid w:val="009B7F77"/>
    <w:rsid w:val="009C11E5"/>
    <w:rsid w:val="00A126C1"/>
    <w:rsid w:val="00A174AA"/>
    <w:rsid w:val="00A56351"/>
    <w:rsid w:val="00A75042"/>
    <w:rsid w:val="00AC5280"/>
    <w:rsid w:val="00AD734D"/>
    <w:rsid w:val="00AE3210"/>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4E11"/>
    <w:rsid w:val="00E352FE"/>
    <w:rsid w:val="00EA25BA"/>
    <w:rsid w:val="00EA5BD3"/>
    <w:rsid w:val="00EB58F7"/>
    <w:rsid w:val="00F20835"/>
    <w:rsid w:val="00F353B5"/>
    <w:rsid w:val="00F50088"/>
    <w:rsid w:val="00F52ACC"/>
    <w:rsid w:val="00F81DB4"/>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40FB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NoSpacing">
    <w:name w:val="No Spacing"/>
    <w:uiPriority w:val="1"/>
    <w:qFormat/>
    <w:rsid w:val="00562650"/>
    <w:rPr>
      <w:sz w:val="24"/>
      <w:szCs w:val="24"/>
    </w:rPr>
  </w:style>
  <w:style w:type="character" w:customStyle="1" w:styleId="Heading2Char">
    <w:name w:val="Heading 2 Char"/>
    <w:basedOn w:val="DefaultParagraphFont"/>
    <w:link w:val="Heading2"/>
    <w:rsid w:val="00AE3210"/>
    <w:rPr>
      <w:b/>
      <w:bCs/>
      <w:sz w:val="24"/>
      <w:szCs w:val="24"/>
    </w:rPr>
  </w:style>
  <w:style w:type="paragraph" w:styleId="ListParagraph">
    <w:name w:val="List Paragraph"/>
    <w:basedOn w:val="Normal"/>
    <w:uiPriority w:val="34"/>
    <w:qFormat/>
    <w:rsid w:val="0041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63034AD9-36C5-43EF-A98C-E8CD98E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2020-08-11T03:31:00Z</dcterms:created>
  <dcterms:modified xsi:type="dcterms:W3CDTF">2020-08-11T03:34:00Z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