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EE0024" w:rsidRPr="00161B69">
        <w:rPr>
          <w:b/>
          <w:bCs/>
        </w:rPr>
        <w:t>VETA 110</w:t>
      </w:r>
      <w:r w:rsidR="00E00A2C">
        <w:rPr>
          <w:b/>
          <w:bCs/>
        </w:rPr>
        <w:t>4</w:t>
      </w:r>
      <w:r w:rsidR="00EE0024" w:rsidRPr="00161B69">
        <w:rPr>
          <w:b/>
          <w:bCs/>
        </w:rPr>
        <w:t xml:space="preserve"> – </w:t>
      </w:r>
      <w:r w:rsidR="00E00A2C">
        <w:rPr>
          <w:b/>
          <w:bCs/>
        </w:rPr>
        <w:t>Veterinary Medical Terminology</w:t>
      </w:r>
      <w:r w:rsidR="00EE0024" w:rsidRPr="00161B69">
        <w:rPr>
          <w:b/>
          <w:bCs/>
        </w:rPr>
        <w:tab/>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EE0024">
        <w:rPr>
          <w:b/>
          <w:bCs/>
        </w:rPr>
        <w:t>2</w:t>
      </w:r>
      <w:r w:rsidR="00CD7127">
        <w:rPr>
          <w:b/>
          <w:bCs/>
        </w:rPr>
        <w:t>/0/</w:t>
      </w:r>
      <w:r w:rsidR="00EE0024">
        <w:rPr>
          <w:b/>
          <w:bCs/>
        </w:rPr>
        <w:t>2</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EE0024">
        <w:rPr>
          <w:b/>
          <w:bCs/>
        </w:rPr>
        <w:t>30</w:t>
      </w:r>
      <w:r w:rsidR="00CD7127">
        <w:rPr>
          <w:b/>
          <w:bCs/>
        </w:rPr>
        <w:t>/0/</w:t>
      </w:r>
      <w:r w:rsidR="00EE0024">
        <w:rPr>
          <w:b/>
          <w:bCs/>
        </w:rPr>
        <w:t>30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7C487C" w:rsidRPr="00402A83" w:rsidRDefault="005D2D96" w:rsidP="007C487C">
      <w:pPr>
        <w:spacing w:line="257" w:lineRule="auto"/>
        <w:rPr>
          <w:rFonts w:ascii="Garamond" w:eastAsia="Calibri" w:hAnsi="Garamond" w:cs="Calibri"/>
        </w:rPr>
      </w:pPr>
      <w:r w:rsidRPr="00897420">
        <w:rPr>
          <w:b/>
        </w:rPr>
        <w:t>COURSE DESCRIPTION</w:t>
      </w:r>
      <w:r w:rsidR="00F52ACC" w:rsidRPr="00897420">
        <w:rPr>
          <w:b/>
        </w:rPr>
        <w:t>:</w:t>
      </w:r>
      <w:r w:rsidR="006A4BFE" w:rsidRPr="00897420">
        <w:t xml:space="preserve"> </w:t>
      </w:r>
      <w:r w:rsidR="007C487C" w:rsidRPr="00773FC4">
        <w:rPr>
          <w:rFonts w:ascii="Garamond" w:eastAsia="Calibri" w:hAnsi="Garamond" w:cs="Calibri"/>
        </w:rPr>
        <w:t>This course introduces students to</w:t>
      </w:r>
      <w:r w:rsidR="007C487C">
        <w:rPr>
          <w:rFonts w:ascii="Garamond" w:eastAsia="Calibri" w:hAnsi="Garamond" w:cs="Calibri"/>
        </w:rPr>
        <w:t xml:space="preserve"> the professional language of the veterinary profession. History and word components will be used to emphasize proper veterinary terminology. </w:t>
      </w:r>
    </w:p>
    <w:p w:rsidR="006A4BFE" w:rsidRPr="00897420" w:rsidRDefault="006A4BFE" w:rsidP="007C487C">
      <w:pPr>
        <w:autoSpaceDE w:val="0"/>
        <w:autoSpaceDN w:val="0"/>
        <w:adjustRightInd w:val="0"/>
        <w:rPr>
          <w:b/>
        </w:rPr>
      </w:pPr>
    </w:p>
    <w:p w:rsidR="00F52ACC" w:rsidRPr="00EF0747" w:rsidRDefault="005D2D96">
      <w:r w:rsidRPr="00897420">
        <w:rPr>
          <w:b/>
          <w:bCs/>
        </w:rPr>
        <w:t>PREREQUISITES</w:t>
      </w:r>
      <w:r w:rsidR="000406B7" w:rsidRPr="003415C6">
        <w:rPr>
          <w:b/>
          <w:bCs/>
        </w:rPr>
        <w:t>:</w:t>
      </w:r>
      <w:r w:rsidR="000406B7">
        <w:rPr>
          <w:b/>
          <w:bCs/>
        </w:rPr>
        <w:t xml:space="preserve">  </w:t>
      </w:r>
      <w:r w:rsidR="00573D86">
        <w:t>None.</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4A51CA" w:rsidRPr="000330B6" w:rsidRDefault="004A51CA" w:rsidP="004A51CA">
      <w:pPr>
        <w:numPr>
          <w:ilvl w:val="0"/>
          <w:numId w:val="13"/>
        </w:numPr>
      </w:pPr>
      <w:r w:rsidRPr="000330B6">
        <w:t xml:space="preserve">Describe, spell, and define </w:t>
      </w:r>
      <w:r w:rsidR="000330B6" w:rsidRPr="000330B6">
        <w:t>common medical terminology, root words, prefixes, and suffixes and their functions.</w:t>
      </w:r>
    </w:p>
    <w:p w:rsidR="004A51CA" w:rsidRPr="000330B6" w:rsidRDefault="004A51CA" w:rsidP="004A51CA">
      <w:pPr>
        <w:numPr>
          <w:ilvl w:val="0"/>
          <w:numId w:val="13"/>
        </w:numPr>
      </w:pPr>
      <w:r w:rsidRPr="000330B6">
        <w:t>De</w:t>
      </w:r>
      <w:r w:rsidR="000330B6" w:rsidRPr="000330B6">
        <w:t>monstrate understanding of general body structure, function, and organization.</w:t>
      </w:r>
    </w:p>
    <w:p w:rsidR="004A51CA" w:rsidRPr="000330B6" w:rsidRDefault="004A51CA" w:rsidP="004A51CA">
      <w:pPr>
        <w:numPr>
          <w:ilvl w:val="0"/>
          <w:numId w:val="13"/>
        </w:numPr>
      </w:pPr>
      <w:r w:rsidRPr="000330B6">
        <w:t>Recognize, pronounce, spell, and define commonly used medical terms relating to the diagnosis, pathology, and treatment of each body system.</w:t>
      </w:r>
    </w:p>
    <w:p w:rsidR="00BF5892" w:rsidRPr="000330B6" w:rsidRDefault="004A51CA" w:rsidP="004A51CA">
      <w:pPr>
        <w:pStyle w:val="ListParagraph"/>
        <w:numPr>
          <w:ilvl w:val="0"/>
          <w:numId w:val="13"/>
        </w:numPr>
        <w:rPr>
          <w:b/>
        </w:rPr>
      </w:pPr>
      <w:r w:rsidRPr="000330B6">
        <w:t>Recognize and define commonly used medical abbreviations relating to their usage in veterinary medical records.</w:t>
      </w:r>
    </w:p>
    <w:p w:rsidR="000330B6" w:rsidRPr="000330B6" w:rsidRDefault="000330B6" w:rsidP="004A51CA">
      <w:pPr>
        <w:pStyle w:val="ListParagraph"/>
        <w:numPr>
          <w:ilvl w:val="0"/>
          <w:numId w:val="13"/>
        </w:numPr>
      </w:pPr>
      <w:r w:rsidRPr="000330B6">
        <w:t xml:space="preserve">Demonstrate a basic understanding of directional terminology as it relates to the body and to radiography. </w:t>
      </w:r>
    </w:p>
    <w:p w:rsidR="004A51CA" w:rsidRPr="004A51CA" w:rsidRDefault="004A51CA" w:rsidP="004A51CA">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29053E" w:rsidRDefault="0029053E" w:rsidP="002A47DA">
      <w:pPr>
        <w:pStyle w:val="Heading2"/>
        <w:ind w:left="0"/>
      </w:pPr>
    </w:p>
    <w:p w:rsidR="002C3219" w:rsidRDefault="00604E2B" w:rsidP="002A47DA">
      <w:pPr>
        <w:pStyle w:val="Heading2"/>
        <w:ind w:left="0"/>
      </w:pPr>
      <w:r w:rsidRPr="00604E2B">
        <w:t>Assignment deadlines and exam dates/times are to be respected. Late submissions are not permitted and may result in a failing grade. Exceptions are at the discretion of the instructor.</w:t>
      </w:r>
    </w:p>
    <w:p w:rsidR="00B6485F" w:rsidRPr="00604E2B" w:rsidRDefault="00B6485F" w:rsidP="00604E2B"/>
    <w:p w:rsidR="00B6485F" w:rsidRDefault="005D2D96" w:rsidP="00A06569">
      <w:pPr>
        <w:ind w:left="5040" w:hanging="5040"/>
      </w:pPr>
      <w:r w:rsidRPr="00A06569">
        <w:rPr>
          <w:b/>
        </w:rPr>
        <w:t>TEXTBOOKS</w:t>
      </w:r>
      <w:r w:rsidR="006A4BFE" w:rsidRPr="00B6485F">
        <w:t xml:space="preserve">: </w:t>
      </w:r>
    </w:p>
    <w:p w:rsidR="00A06569" w:rsidRPr="00B6485F" w:rsidRDefault="004A51CA" w:rsidP="00A06569">
      <w:pPr>
        <w:ind w:left="5040" w:hanging="5040"/>
        <w:rPr>
          <w:rFonts w:eastAsia="Arial Unicode MS"/>
          <w:i/>
          <w:iCs/>
        </w:rPr>
      </w:pPr>
      <w:r w:rsidRPr="00B6485F">
        <w:rPr>
          <w:b/>
        </w:rPr>
        <w:lastRenderedPageBreak/>
        <w:t>Required:</w:t>
      </w:r>
      <w:r w:rsidRPr="00B6485F">
        <w:rPr>
          <w:rFonts w:eastAsia="Arial Unicode MS"/>
          <w:i/>
          <w:iCs/>
        </w:rPr>
        <w:t xml:space="preserve"> Veterinary Medical Terminology, 3e (Dawn E. Christenson)</w:t>
      </w:r>
    </w:p>
    <w:p w:rsidR="004A51CA" w:rsidRPr="00A85E79" w:rsidRDefault="004A51CA" w:rsidP="00B6485F">
      <w:pPr>
        <w:rPr>
          <w:rFonts w:eastAsia="Arial Unicode MS"/>
          <w:b/>
          <w:i/>
          <w:iCs/>
          <w:sz w:val="20"/>
          <w:szCs w:val="20"/>
        </w:rPr>
      </w:pPr>
      <w:r w:rsidRPr="00B6485F">
        <w:rPr>
          <w:rFonts w:eastAsia="Arial Unicode MS"/>
          <w:b/>
          <w:iCs/>
        </w:rPr>
        <w:t>Recommended:</w:t>
      </w:r>
      <w:r w:rsidRPr="00B6485F">
        <w:rPr>
          <w:rFonts w:eastAsia="Arial Unicode MS"/>
          <w:b/>
          <w:i/>
          <w:iCs/>
        </w:rPr>
        <w:t xml:space="preserve"> </w:t>
      </w:r>
      <w:r w:rsidRPr="00B6485F">
        <w:rPr>
          <w:i/>
        </w:rPr>
        <w:t>Saunders Comprehensive Dictionary, 3</w:t>
      </w:r>
      <w:r w:rsidRPr="00B6485F">
        <w:rPr>
          <w:i/>
          <w:vertAlign w:val="superscript"/>
        </w:rPr>
        <w:t>rd</w:t>
      </w:r>
      <w:r w:rsidRPr="00B6485F">
        <w:rPr>
          <w:i/>
        </w:rPr>
        <w:t xml:space="preserve"> Edition, Blood, </w:t>
      </w:r>
      <w:proofErr w:type="spellStart"/>
      <w:r w:rsidRPr="00B6485F">
        <w:rPr>
          <w:i/>
        </w:rPr>
        <w:t>Studdert</w:t>
      </w:r>
      <w:proofErr w:type="spellEnd"/>
      <w:r w:rsidRPr="00B6485F">
        <w:rPr>
          <w:i/>
        </w:rPr>
        <w:t>, and Gray</w:t>
      </w:r>
    </w:p>
    <w:p w:rsidR="002A47DA" w:rsidRPr="00897420" w:rsidRDefault="002A47DA" w:rsidP="002A47DA"/>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B8154B" w:rsidRDefault="00B8154B" w:rsidP="0029053E">
      <w:pPr>
        <w:pStyle w:val="ListParagraph"/>
        <w:numPr>
          <w:ilvl w:val="0"/>
          <w:numId w:val="16"/>
        </w:numPr>
      </w:pPr>
      <w:r>
        <w:t>Homework/Assignments: 10%</w:t>
      </w:r>
    </w:p>
    <w:p w:rsidR="00B8154B" w:rsidRDefault="00B8154B" w:rsidP="0029053E">
      <w:pPr>
        <w:pStyle w:val="ListParagraph"/>
        <w:numPr>
          <w:ilvl w:val="0"/>
          <w:numId w:val="16"/>
        </w:numPr>
      </w:pPr>
      <w:r>
        <w:t>Attendance/Participation:</w:t>
      </w:r>
      <w:r w:rsidR="00D60FA1">
        <w:t xml:space="preserve"> 10%</w:t>
      </w:r>
    </w:p>
    <w:p w:rsidR="00B8154B" w:rsidRDefault="00B8154B" w:rsidP="0029053E">
      <w:pPr>
        <w:pStyle w:val="ListParagraph"/>
        <w:numPr>
          <w:ilvl w:val="0"/>
          <w:numId w:val="16"/>
        </w:numPr>
      </w:pPr>
      <w:r>
        <w:t xml:space="preserve">Projects/Exams: </w:t>
      </w:r>
      <w:r w:rsidR="00D60FA1">
        <w:t>50</w:t>
      </w:r>
      <w:r>
        <w:t>%</w:t>
      </w:r>
    </w:p>
    <w:p w:rsidR="00B8154B" w:rsidRPr="00B8154B" w:rsidRDefault="00B8154B" w:rsidP="0029053E">
      <w:pPr>
        <w:pStyle w:val="ListParagraph"/>
        <w:numPr>
          <w:ilvl w:val="0"/>
          <w:numId w:val="16"/>
        </w:numPr>
      </w:pPr>
      <w:r>
        <w:t>Final Exam: 30%</w:t>
      </w:r>
    </w:p>
    <w:p w:rsidR="00B6485F" w:rsidRDefault="00B6485F" w:rsidP="0029053E">
      <w:pPr>
        <w:spacing w:before="100" w:beforeAutospacing="1" w:after="100" w:afterAutospacing="1"/>
      </w:pPr>
      <w:r>
        <w:rPr>
          <w:b/>
          <w:bCs/>
        </w:rPr>
        <w:t>GRADING SCALE:</w:t>
      </w:r>
    </w:p>
    <w:p w:rsidR="00B6485F" w:rsidRDefault="00B6485F" w:rsidP="00B6485F">
      <w:pPr>
        <w:spacing w:before="100" w:beforeAutospacing="1" w:after="100" w:afterAutospacing="1"/>
      </w:pPr>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w:t>
      </w:r>
      <w:r w:rsidR="002B1896" w:rsidRPr="00897420">
        <w:lastRenderedPageBreak/>
        <w:t>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FE" w:rsidRDefault="00224DFE" w:rsidP="00F52ACC">
      <w:r>
        <w:separator/>
      </w:r>
    </w:p>
  </w:endnote>
  <w:endnote w:type="continuationSeparator" w:id="0">
    <w:p w:rsidR="00224DFE" w:rsidRDefault="00224DF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E" w:rsidRDefault="0029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E" w:rsidRPr="00C45841" w:rsidRDefault="00F52ACC" w:rsidP="0029053E">
    <w:pPr>
      <w:rPr>
        <w:b/>
        <w:sz w:val="20"/>
      </w:rPr>
    </w:pPr>
    <w:r w:rsidRPr="0029053E">
      <w:rPr>
        <w:b/>
        <w:sz w:val="20"/>
      </w:rPr>
      <w:t>Note:  This syllabus is a contract.  Staying in this course signifies your agreement to the contents.</w:t>
    </w:r>
    <w:r w:rsidR="0029053E">
      <w:rPr>
        <w:b/>
        <w:sz w:val="20"/>
      </w:rPr>
      <w:tab/>
    </w:r>
    <w:r w:rsidR="0029053E">
      <w:rPr>
        <w:b/>
        <w:sz w:val="20"/>
      </w:rPr>
      <w:t>Last update Jan. 2022</w:t>
    </w:r>
  </w:p>
  <w:p w:rsidR="00F52ACC" w:rsidRPr="0029053E" w:rsidRDefault="00F52ACC" w:rsidP="0029053E">
    <w:pPr>
      <w:tabs>
        <w:tab w:val="left" w:pos="8775"/>
      </w:tabs>
      <w:rPr>
        <w:b/>
        <w:sz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E" w:rsidRDefault="0029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FE" w:rsidRDefault="00224DFE" w:rsidP="00F52ACC">
      <w:r>
        <w:separator/>
      </w:r>
    </w:p>
  </w:footnote>
  <w:footnote w:type="continuationSeparator" w:id="0">
    <w:p w:rsidR="00224DFE" w:rsidRDefault="00224DFE" w:rsidP="00F5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E" w:rsidRDefault="00290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E" w:rsidRDefault="00290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E" w:rsidRDefault="0029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E3226"/>
    <w:multiLevelType w:val="hybridMultilevel"/>
    <w:tmpl w:val="2B2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7"/>
  </w:num>
  <w:num w:numId="5">
    <w:abstractNumId w:val="8"/>
  </w:num>
  <w:num w:numId="6">
    <w:abstractNumId w:val="14"/>
  </w:num>
  <w:num w:numId="7">
    <w:abstractNumId w:val="10"/>
  </w:num>
  <w:num w:numId="8">
    <w:abstractNumId w:val="9"/>
  </w:num>
  <w:num w:numId="9">
    <w:abstractNumId w:val="5"/>
  </w:num>
  <w:num w:numId="10">
    <w:abstractNumId w:val="6"/>
  </w:num>
  <w:num w:numId="11">
    <w:abstractNumId w:val="3"/>
  </w:num>
  <w:num w:numId="12">
    <w:abstractNumId w:val="11"/>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224DFE"/>
    <w:rsid w:val="00235FDF"/>
    <w:rsid w:val="0026401F"/>
    <w:rsid w:val="0029053E"/>
    <w:rsid w:val="00294B47"/>
    <w:rsid w:val="00296855"/>
    <w:rsid w:val="002A47DA"/>
    <w:rsid w:val="002B1896"/>
    <w:rsid w:val="002C3219"/>
    <w:rsid w:val="002C3B6A"/>
    <w:rsid w:val="002D72F1"/>
    <w:rsid w:val="002E0538"/>
    <w:rsid w:val="003064BE"/>
    <w:rsid w:val="00320C82"/>
    <w:rsid w:val="003415C6"/>
    <w:rsid w:val="00354D96"/>
    <w:rsid w:val="0037283C"/>
    <w:rsid w:val="003A51CB"/>
    <w:rsid w:val="003A5636"/>
    <w:rsid w:val="003B2619"/>
    <w:rsid w:val="003C13E6"/>
    <w:rsid w:val="003C1559"/>
    <w:rsid w:val="004229CB"/>
    <w:rsid w:val="004A51CA"/>
    <w:rsid w:val="00544C0B"/>
    <w:rsid w:val="005463C2"/>
    <w:rsid w:val="00573D86"/>
    <w:rsid w:val="005A2DB0"/>
    <w:rsid w:val="005C6C8D"/>
    <w:rsid w:val="005D2D96"/>
    <w:rsid w:val="00604E2B"/>
    <w:rsid w:val="006342C9"/>
    <w:rsid w:val="00654FC5"/>
    <w:rsid w:val="006835B9"/>
    <w:rsid w:val="0068505B"/>
    <w:rsid w:val="006A4BFE"/>
    <w:rsid w:val="006B211F"/>
    <w:rsid w:val="006C1DBF"/>
    <w:rsid w:val="00710ED3"/>
    <w:rsid w:val="007C487C"/>
    <w:rsid w:val="007E001E"/>
    <w:rsid w:val="00822E3D"/>
    <w:rsid w:val="0085664F"/>
    <w:rsid w:val="00861CB6"/>
    <w:rsid w:val="00885A8F"/>
    <w:rsid w:val="00897420"/>
    <w:rsid w:val="008A7EA5"/>
    <w:rsid w:val="008E3B4A"/>
    <w:rsid w:val="009130CF"/>
    <w:rsid w:val="00914403"/>
    <w:rsid w:val="00927540"/>
    <w:rsid w:val="00933CB6"/>
    <w:rsid w:val="009376C3"/>
    <w:rsid w:val="00972574"/>
    <w:rsid w:val="009B7F77"/>
    <w:rsid w:val="009C11E5"/>
    <w:rsid w:val="00A06569"/>
    <w:rsid w:val="00A126C1"/>
    <w:rsid w:val="00A56351"/>
    <w:rsid w:val="00A75042"/>
    <w:rsid w:val="00AC5280"/>
    <w:rsid w:val="00AD734D"/>
    <w:rsid w:val="00AE678C"/>
    <w:rsid w:val="00AF0EC8"/>
    <w:rsid w:val="00B4469F"/>
    <w:rsid w:val="00B6485F"/>
    <w:rsid w:val="00B8154B"/>
    <w:rsid w:val="00B91E8D"/>
    <w:rsid w:val="00B9243F"/>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677D"/>
    <w:rsid w:val="00D3204C"/>
    <w:rsid w:val="00D60FA1"/>
    <w:rsid w:val="00D7703F"/>
    <w:rsid w:val="00E00A2C"/>
    <w:rsid w:val="00E00EF3"/>
    <w:rsid w:val="00E34E11"/>
    <w:rsid w:val="00E352FE"/>
    <w:rsid w:val="00E56024"/>
    <w:rsid w:val="00EA25BA"/>
    <w:rsid w:val="00EA5BD3"/>
    <w:rsid w:val="00EB58F7"/>
    <w:rsid w:val="00EE0024"/>
    <w:rsid w:val="00EF074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9D78F"/>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B29A4-A3DD-46C1-9A5A-BACE93AA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2022-06-21T19:09:00Z</dcterms:created>
  <dcterms:modified xsi:type="dcterms:W3CDTF">2022-06-21T19:09:00Z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